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0047" w14:textId="77777777" w:rsidR="009C3563" w:rsidRDefault="009C3563" w:rsidP="009C3563">
      <w:pPr>
        <w:jc w:val="center"/>
      </w:pPr>
      <w:r>
        <w:t xml:space="preserve">How Does </w:t>
      </w:r>
      <w:r w:rsidRPr="00221204">
        <w:t>Scientific</w:t>
      </w:r>
      <w:r>
        <w:t xml:space="preserve"> Fact become </w:t>
      </w:r>
      <w:proofErr w:type="gramStart"/>
      <w:r>
        <w:t>Fiction?:</w:t>
      </w:r>
      <w:proofErr w:type="gramEnd"/>
      <w:r>
        <w:t xml:space="preserve"> Evidence from the Anti-GMO Movement</w:t>
      </w:r>
    </w:p>
    <w:p w14:paraId="52021E5F" w14:textId="77777777" w:rsidR="00BF48DB" w:rsidRDefault="00BF48DB" w:rsidP="009C3563">
      <w:pPr>
        <w:jc w:val="center"/>
      </w:pPr>
    </w:p>
    <w:p w14:paraId="5BF7473A" w14:textId="2DD7FC98" w:rsidR="009C3563" w:rsidRDefault="009C3563" w:rsidP="009C3563">
      <w:pPr>
        <w:jc w:val="center"/>
      </w:pPr>
      <w:r>
        <w:t xml:space="preserve">Robert C. Bird </w:t>
      </w:r>
    </w:p>
    <w:p w14:paraId="42A0987F" w14:textId="77777777" w:rsidR="009C3563" w:rsidRDefault="009C3563" w:rsidP="009C3563">
      <w:pPr>
        <w:jc w:val="center"/>
      </w:pPr>
      <w:r>
        <w:t>Professor of Business Law</w:t>
      </w:r>
    </w:p>
    <w:p w14:paraId="2EB572E8" w14:textId="77777777" w:rsidR="009C3563" w:rsidRDefault="009C3563" w:rsidP="009C3563">
      <w:pPr>
        <w:jc w:val="center"/>
      </w:pPr>
      <w:r>
        <w:t>Eversource Energy Chair in Business Ethics</w:t>
      </w:r>
    </w:p>
    <w:p w14:paraId="024AAC36" w14:textId="77777777" w:rsidR="009C3563" w:rsidRDefault="009C3563" w:rsidP="009C3563">
      <w:pPr>
        <w:jc w:val="center"/>
      </w:pPr>
      <w:r>
        <w:t>University of Connecticut</w:t>
      </w:r>
    </w:p>
    <w:p w14:paraId="3922FA74" w14:textId="72A982FF" w:rsidR="009C3563" w:rsidRDefault="009C3563" w:rsidP="009C3563">
      <w:pPr>
        <w:jc w:val="center"/>
      </w:pPr>
      <w:hyperlink r:id="rId8" w:history="1">
        <w:r w:rsidRPr="00EE24FD">
          <w:rPr>
            <w:rStyle w:val="Hyperlink"/>
          </w:rPr>
          <w:t>robert.bird@uconn.edu</w:t>
        </w:r>
      </w:hyperlink>
    </w:p>
    <w:p w14:paraId="6C137136" w14:textId="77777777" w:rsidR="00DB37AC" w:rsidRDefault="00DB37AC" w:rsidP="009C3563">
      <w:pPr>
        <w:jc w:val="center"/>
      </w:pPr>
    </w:p>
    <w:p w14:paraId="16FC1AAC" w14:textId="289DBD7F" w:rsidR="009C3563" w:rsidRDefault="009C3563" w:rsidP="009C3563">
      <w:pPr>
        <w:jc w:val="center"/>
      </w:pPr>
      <w:r>
        <w:t>For presentation at the Big Ten &amp; Friends Paper Workshop 2019</w:t>
      </w:r>
    </w:p>
    <w:p w14:paraId="467B709A" w14:textId="089B9805" w:rsidR="00BF48DB" w:rsidRDefault="00BF48DB" w:rsidP="00BF48DB"/>
    <w:p w14:paraId="28B9BE23" w14:textId="6704158B" w:rsidR="00BF48DB" w:rsidRDefault="00BF48DB" w:rsidP="00BF48DB">
      <w:r>
        <w:rPr>
          <w:u w:val="single"/>
        </w:rPr>
        <w:t>Abstract</w:t>
      </w:r>
      <w:r>
        <w:t xml:space="preserve">: Distorted science directly impacts law and policy. Climate change deniers </w:t>
      </w:r>
      <w:r w:rsidR="005A7276">
        <w:t>use</w:t>
      </w:r>
      <w:r>
        <w:t xml:space="preserve"> distorted science to suppress policy steps to control man-made global warning. </w:t>
      </w:r>
      <w:r w:rsidR="005A7276">
        <w:t>H</w:t>
      </w:r>
      <w:r>
        <w:t xml:space="preserve">ot-button disagreements such as illegal immigration and fracking are driven in part by distorted scientific claims. Scientific data and public policy choice are thus intertwined, with science informing policy decisions and policy preferences </w:t>
      </w:r>
      <w:r w:rsidR="002140A4">
        <w:t>stimulating</w:t>
      </w:r>
      <w:r>
        <w:t xml:space="preserve"> scientific inquiry.</w:t>
      </w:r>
      <w:r w:rsidR="002140A4">
        <w:t xml:space="preserve"> </w:t>
      </w:r>
    </w:p>
    <w:p w14:paraId="26C0C105" w14:textId="3394E3B0" w:rsidR="00BF48DB" w:rsidRDefault="00BF48DB" w:rsidP="00BF48DB"/>
    <w:p w14:paraId="4BB9B6F4" w14:textId="42347F5E" w:rsidR="00BF48DB" w:rsidRDefault="002140A4" w:rsidP="00BF48DB">
      <w:r>
        <w:t>This creates</w:t>
      </w:r>
      <w:r w:rsidR="00BF48DB">
        <w:t xml:space="preserve"> ample opportunity for information distortion. Some scientists exaggerate or falsify their own findings for professional gain.  Information intermediaries poorly conveying scientific knowledge. Lawmakers serving political interests distort scientific findings. Overloaded consumers misinterpret scientific facts. It is the task of academics in multiple disciplines to stem the tide.</w:t>
      </w:r>
    </w:p>
    <w:p w14:paraId="612A4DB1" w14:textId="77777777" w:rsidR="00BF48DB" w:rsidRDefault="00BF48DB" w:rsidP="00BF48DB"/>
    <w:p w14:paraId="5B4DDCFB" w14:textId="499C8477" w:rsidR="00BF48DB" w:rsidRDefault="00BF48DB" w:rsidP="00BF48DB">
      <w:r>
        <w:t xml:space="preserve">This article explores how fact becomes fiction through a case study of a single and controversial claim: the consumption of genetically modified organisms (GMOs) causes autism in humans. This article </w:t>
      </w:r>
      <w:r w:rsidR="00D9593E">
        <w:t xml:space="preserve">reviews an unqualified claim that GMO consumption causes autism, and then traces the quoted source for the claim, the source’s source, </w:t>
      </w:r>
      <w:r w:rsidR="00540905">
        <w:t>and finishes</w:t>
      </w:r>
      <w:r w:rsidR="00D9593E">
        <w:t xml:space="preserve"> </w:t>
      </w:r>
      <w:r w:rsidR="00540905">
        <w:t>when</w:t>
      </w:r>
      <w:r w:rsidR="00D9593E">
        <w:t xml:space="preserve"> a final bedrock of empirical data is reached. The result is that empirical source at the bottom of the citation chain has little to do with GMOs or autism, and each step in that chain is subject to distortion. The article concludes with recommendations to improve science-to-public communication trough an information triage approach.</w:t>
      </w:r>
    </w:p>
    <w:p w14:paraId="4BB436AB" w14:textId="77777777" w:rsidR="00BF48DB" w:rsidRDefault="00BF48DB" w:rsidP="00BF48DB"/>
    <w:p w14:paraId="629FB362" w14:textId="3CB6CCC9" w:rsidR="004E4629" w:rsidRDefault="00D9593E" w:rsidP="00DB37AC">
      <w:r>
        <w:rPr>
          <w:u w:val="single"/>
        </w:rPr>
        <w:t>Note to BTF Readers</w:t>
      </w:r>
      <w:r>
        <w:t xml:space="preserve">: Thank you for reading my manuscript. I welcome any comments. One concern I have is that the manuscript does not sufficiently situate itself within a legal policy or problem. </w:t>
      </w:r>
      <w:bookmarkStart w:id="0" w:name="_GoBack"/>
      <w:bookmarkEnd w:id="0"/>
      <w:r>
        <w:t>Any recommendations toward enhancing the manuscript’s legal spin or perspective is particularly appreciated.</w:t>
      </w:r>
    </w:p>
    <w:p w14:paraId="63DD737A" w14:textId="5DC17B2F" w:rsidR="009C3563" w:rsidRDefault="009C3563" w:rsidP="00DB37AC">
      <w:r>
        <w:br w:type="page"/>
      </w:r>
    </w:p>
    <w:p w14:paraId="124B5D82" w14:textId="77777777" w:rsidR="009C3563" w:rsidRDefault="009C3563"/>
    <w:p w14:paraId="33164182" w14:textId="428ADA17" w:rsidR="007C1291" w:rsidRDefault="00987C9D" w:rsidP="00EF26E1">
      <w:pPr>
        <w:jc w:val="center"/>
      </w:pPr>
      <w:r>
        <w:t xml:space="preserve">How Does </w:t>
      </w:r>
      <w:r w:rsidRPr="00221204">
        <w:t>Scientific</w:t>
      </w:r>
      <w:r>
        <w:t xml:space="preserve"> Fact become </w:t>
      </w:r>
      <w:proofErr w:type="gramStart"/>
      <w:r>
        <w:t>Fiction</w:t>
      </w:r>
      <w:r w:rsidR="00B87CA5">
        <w:t>?</w:t>
      </w:r>
      <w:r>
        <w:t>:</w:t>
      </w:r>
      <w:proofErr w:type="gramEnd"/>
      <w:r>
        <w:t xml:space="preserve"> Evidence from the Anti-GMO Movement</w:t>
      </w:r>
    </w:p>
    <w:p w14:paraId="6BCBAEF9" w14:textId="77777777" w:rsidR="00EF26E1" w:rsidRDefault="00EF26E1" w:rsidP="00EF26E1">
      <w:pPr>
        <w:jc w:val="center"/>
      </w:pPr>
    </w:p>
    <w:p w14:paraId="77DBDFA1" w14:textId="77777777" w:rsidR="007C1291" w:rsidRDefault="007C1291" w:rsidP="007C1291">
      <w:pPr>
        <w:jc w:val="center"/>
      </w:pPr>
      <w:r>
        <w:t>By:</w:t>
      </w:r>
    </w:p>
    <w:p w14:paraId="491F27A9" w14:textId="77777777" w:rsidR="007C1291" w:rsidRDefault="007C1291" w:rsidP="007C1291">
      <w:pPr>
        <w:jc w:val="center"/>
      </w:pPr>
    </w:p>
    <w:p w14:paraId="4B41681E" w14:textId="77777777" w:rsidR="007C1291" w:rsidRDefault="007C1291" w:rsidP="007C1291">
      <w:pPr>
        <w:jc w:val="center"/>
      </w:pPr>
      <w:r>
        <w:t>Robert C. Bird</w:t>
      </w:r>
      <w:bookmarkStart w:id="1" w:name="_Ref535244263"/>
      <w:r>
        <w:rPr>
          <w:rStyle w:val="FootnoteReference"/>
        </w:rPr>
        <w:footnoteReference w:customMarkFollows="1" w:id="1"/>
        <w:t>*</w:t>
      </w:r>
      <w:bookmarkEnd w:id="1"/>
    </w:p>
    <w:p w14:paraId="20093FC3" w14:textId="77777777" w:rsidR="007C1291" w:rsidRDefault="007C1291" w:rsidP="007C1291"/>
    <w:p w14:paraId="2F1E1CB8" w14:textId="1A3BE76C" w:rsidR="002C6C07" w:rsidRDefault="00EB1B40" w:rsidP="00DB5755">
      <w:pPr>
        <w:jc w:val="center"/>
      </w:pPr>
      <w:r>
        <w:t>March 29, 2019</w:t>
      </w:r>
    </w:p>
    <w:p w14:paraId="1227D4EA" w14:textId="1D1FE2DC" w:rsidR="00DB5755" w:rsidRDefault="00DB5755" w:rsidP="002C6C07"/>
    <w:p w14:paraId="34714F0E" w14:textId="77777777" w:rsidR="00DB5755" w:rsidRPr="00EF26E1" w:rsidRDefault="00DB5755" w:rsidP="00DB5755">
      <w:pPr>
        <w:ind w:left="720" w:right="720"/>
        <w:rPr>
          <w:i/>
          <w:sz w:val="20"/>
        </w:rPr>
      </w:pPr>
      <w:r w:rsidRPr="00EF26E1">
        <w:rPr>
          <w:i/>
          <w:sz w:val="20"/>
        </w:rPr>
        <w:t>More and more of us, whether we realize it or not, accept the copy as the original. Increasingly removed from experience, overdependent on the representations of reality that come to us through television and the print media, we seem more and more willing to put our trust in intermediaries who “re-present” the world to us.</w:t>
      </w:r>
    </w:p>
    <w:p w14:paraId="79F2ADF0" w14:textId="77777777" w:rsidR="00DB5755" w:rsidRPr="00EF26E1" w:rsidRDefault="00DB5755" w:rsidP="00DB5755">
      <w:pPr>
        <w:ind w:left="720" w:right="720"/>
        <w:rPr>
          <w:i/>
          <w:sz w:val="20"/>
        </w:rPr>
      </w:pPr>
    </w:p>
    <w:p w14:paraId="6E07D8EE" w14:textId="3B51963A" w:rsidR="00DB5755" w:rsidRPr="00EF26E1" w:rsidRDefault="00DB5755" w:rsidP="00DB5755">
      <w:pPr>
        <w:ind w:left="720" w:right="720"/>
        <w:rPr>
          <w:sz w:val="20"/>
        </w:rPr>
      </w:pPr>
      <w:r w:rsidRPr="00EF26E1">
        <w:rPr>
          <w:i/>
          <w:sz w:val="20"/>
        </w:rPr>
        <w:t>The problem with this is one of communication; intermediaries are notoriously unreliable.</w:t>
      </w:r>
      <w:r w:rsidR="00BB048B">
        <w:rPr>
          <w:i/>
          <w:sz w:val="20"/>
        </w:rPr>
        <w:t xml:space="preserve"> In the well-known children’s game of telephone, a whispered message is passed along from person to person until it is garbled beyond recognition. </w:t>
      </w:r>
      <w:r w:rsidRPr="00EF26E1">
        <w:rPr>
          <w:i/>
          <w:sz w:val="20"/>
        </w:rPr>
        <w:t>If we think of that original message as truth, or reality, we stand today at the end of a long line of interpreters. It's a line that's been growing longer throughout the century. And now, accustomed to our place at the end of that line, we've begun to accept the fictions that reach us as the genuine article. This is not good news. For one thing, it threatens to make us stupid. For another, it makes us, collectively, gullible as children: we believe what we are told. Finally, it can make us dangerous.</w:t>
      </w:r>
      <w:r w:rsidRPr="00BB048B">
        <w:rPr>
          <w:rStyle w:val="FootnoteReference"/>
          <w:sz w:val="20"/>
        </w:rPr>
        <w:footnoteReference w:id="2"/>
      </w:r>
    </w:p>
    <w:p w14:paraId="5C63B9C2" w14:textId="1E5AEA19" w:rsidR="00DB5755" w:rsidRPr="00EF26E1" w:rsidRDefault="00DB5755" w:rsidP="00DB5755">
      <w:pPr>
        <w:ind w:right="720"/>
        <w:rPr>
          <w:sz w:val="20"/>
        </w:rPr>
      </w:pPr>
    </w:p>
    <w:p w14:paraId="20D38605" w14:textId="709BC675" w:rsidR="00DB5755" w:rsidRPr="00EF26E1" w:rsidRDefault="00DB5755" w:rsidP="00DB5755">
      <w:pPr>
        <w:ind w:right="720"/>
        <w:rPr>
          <w:sz w:val="20"/>
        </w:rPr>
      </w:pPr>
      <w:r w:rsidRPr="00EF26E1">
        <w:rPr>
          <w:sz w:val="20"/>
        </w:rPr>
        <w:t xml:space="preserve">- Mark </w:t>
      </w:r>
      <w:proofErr w:type="spellStart"/>
      <w:r w:rsidRPr="00EF26E1">
        <w:rPr>
          <w:sz w:val="20"/>
        </w:rPr>
        <w:t>Slouka</w:t>
      </w:r>
      <w:proofErr w:type="spellEnd"/>
      <w:r w:rsidRPr="00EF26E1">
        <w:rPr>
          <w:sz w:val="20"/>
        </w:rPr>
        <w:t>, American novelist and essayist</w:t>
      </w:r>
      <w:r w:rsidR="0066363D">
        <w:rPr>
          <w:sz w:val="20"/>
        </w:rPr>
        <w:t xml:space="preserve"> (1995)</w:t>
      </w:r>
    </w:p>
    <w:p w14:paraId="6B4EE132" w14:textId="4C221BBF" w:rsidR="00DB5755" w:rsidRDefault="00DB5755" w:rsidP="002C6C07"/>
    <w:p w14:paraId="50562E1A" w14:textId="54CB53AE" w:rsidR="00A23CEA" w:rsidRDefault="00C274F8" w:rsidP="00A03A87">
      <w:r>
        <w:t xml:space="preserve">In the children’s game of telephone, players pass a whispered message from person to person until that message </w:t>
      </w:r>
      <w:r w:rsidR="00D053DE">
        <w:t>is garbled beyond recognition</w:t>
      </w:r>
      <w:r>
        <w:t>.</w:t>
      </w:r>
      <w:r w:rsidR="002701FC">
        <w:rPr>
          <w:rStyle w:val="FootnoteReference"/>
        </w:rPr>
        <w:footnoteReference w:id="3"/>
      </w:r>
      <w:r w:rsidR="00C37E7F">
        <w:t xml:space="preserve"> </w:t>
      </w:r>
      <w:r w:rsidR="00A03A87" w:rsidRPr="00A03A87">
        <w:t xml:space="preserve">While a fun diversion, the game of telephone has serious implications </w:t>
      </w:r>
      <w:r w:rsidR="00870C69">
        <w:t xml:space="preserve">when the message is scientific research. </w:t>
      </w:r>
      <w:r w:rsidR="00A03A87" w:rsidRPr="00A03A87">
        <w:t xml:space="preserve">Selective citation, fear mongering, </w:t>
      </w:r>
      <w:r w:rsidR="00870C69">
        <w:t xml:space="preserve">and personal agendas </w:t>
      </w:r>
      <w:r w:rsidR="00A03A87" w:rsidRPr="00A03A87">
        <w:t xml:space="preserve">encourage </w:t>
      </w:r>
      <w:r w:rsidR="00870C69">
        <w:t>distortion</w:t>
      </w:r>
      <w:r w:rsidR="00A03A87" w:rsidRPr="00A03A87">
        <w:t xml:space="preserve"> of scientific facts. One </w:t>
      </w:r>
      <w:r w:rsidR="00870C69">
        <w:t>distortion</w:t>
      </w:r>
      <w:r w:rsidR="00A03A87" w:rsidRPr="00A03A87">
        <w:t xml:space="preserve"> builds upon another, burying an original scientific idea beneath a mountain of publications peddling fear, supposition, and oversimplification. As a result, countless distortions of science</w:t>
      </w:r>
      <w:r w:rsidR="00AF2CA7">
        <w:t xml:space="preserve"> </w:t>
      </w:r>
      <w:r w:rsidR="00342031">
        <w:t xml:space="preserve">are </w:t>
      </w:r>
      <w:r w:rsidR="00A03A87" w:rsidRPr="00A03A87">
        <w:t>accepted as fact.</w:t>
      </w:r>
      <w:r w:rsidR="00AF2CA7">
        <w:t xml:space="preserve"> </w:t>
      </w:r>
      <w:r w:rsidR="00A03A87" w:rsidRPr="00A03A87">
        <w:t xml:space="preserve">Consumers </w:t>
      </w:r>
      <w:r w:rsidR="00870C69">
        <w:t xml:space="preserve">and lawmakers </w:t>
      </w:r>
      <w:r w:rsidR="00A03A87" w:rsidRPr="00A03A87">
        <w:t>don’t know what they don’t know, resulting in persistently false beliefs that either have no scientific basis or have been long-since discredited.</w:t>
      </w:r>
    </w:p>
    <w:p w14:paraId="757A1CE8" w14:textId="77777777" w:rsidR="00A23CEA" w:rsidRDefault="00A23CEA" w:rsidP="00A03A87"/>
    <w:p w14:paraId="6450662D" w14:textId="2EDA5845" w:rsidR="00A03A87" w:rsidRPr="00A03A87" w:rsidRDefault="00A23CEA" w:rsidP="00A03A87">
      <w:r>
        <w:lastRenderedPageBreak/>
        <w:t>D</w:t>
      </w:r>
      <w:r w:rsidR="00870C69">
        <w:t xml:space="preserve">istorted science directly impacts </w:t>
      </w:r>
      <w:r w:rsidR="00005E25">
        <w:t>law and policy</w:t>
      </w:r>
      <w:r w:rsidR="00870C69">
        <w:t xml:space="preserve">. </w:t>
      </w:r>
      <w:r w:rsidR="00CA34E1">
        <w:t xml:space="preserve">Climate change deniers and organizations that support them have used </w:t>
      </w:r>
      <w:r w:rsidR="00005E25">
        <w:t>distorted</w:t>
      </w:r>
      <w:r w:rsidR="00CA34E1">
        <w:t xml:space="preserve"> science to suppress policy </w:t>
      </w:r>
      <w:r w:rsidR="00271B13">
        <w:t>steps</w:t>
      </w:r>
      <w:r w:rsidR="00CA34E1">
        <w:t xml:space="preserve"> to control man-made global warning.</w:t>
      </w:r>
      <w:bookmarkStart w:id="2" w:name="_Ref535242147"/>
      <w:r w:rsidR="00CA34E1">
        <w:rPr>
          <w:rStyle w:val="FootnoteReference"/>
        </w:rPr>
        <w:footnoteReference w:id="4"/>
      </w:r>
      <w:bookmarkEnd w:id="2"/>
      <w:r w:rsidR="000251C4">
        <w:t xml:space="preserve"> </w:t>
      </w:r>
      <w:r w:rsidR="00CA34E1">
        <w:t xml:space="preserve">Other </w:t>
      </w:r>
      <w:r w:rsidR="00A03A87" w:rsidRPr="00A03A87">
        <w:t>hot-button partisan disagreements such as illegal immigration</w:t>
      </w:r>
      <w:r w:rsidR="000251C4">
        <w:t xml:space="preserve"> and fracking </w:t>
      </w:r>
      <w:r w:rsidR="00CA34E1">
        <w:t xml:space="preserve">are driven in part by </w:t>
      </w:r>
      <w:r w:rsidR="000251C4">
        <w:t>distorted scientific claims</w:t>
      </w:r>
      <w:r w:rsidR="00A03A87" w:rsidRPr="00A03A87">
        <w:t>.</w:t>
      </w:r>
      <w:r w:rsidR="00A03A87" w:rsidRPr="00A03A87">
        <w:rPr>
          <w:vertAlign w:val="superscript"/>
        </w:rPr>
        <w:footnoteReference w:id="5"/>
      </w:r>
      <w:r w:rsidR="00A03A87" w:rsidRPr="00A03A87">
        <w:t xml:space="preserve"> </w:t>
      </w:r>
      <w:r w:rsidR="000251C4">
        <w:t>Billion-dollar a</w:t>
      </w:r>
      <w:r w:rsidR="00A03A87" w:rsidRPr="00A03A87">
        <w:t>ccountable care programs</w:t>
      </w:r>
      <w:r w:rsidR="000251C4">
        <w:t xml:space="preserve"> that claim to improve quality and reduce cost by incentivizing physicians </w:t>
      </w:r>
      <w:r w:rsidR="00A03A87" w:rsidRPr="00A03A87">
        <w:t>are justified by poorly designed studies that make headlines while the best available evidence shows these programs aren’t effective.</w:t>
      </w:r>
      <w:r w:rsidR="00A03A87" w:rsidRPr="00A03A87">
        <w:rPr>
          <w:vertAlign w:val="superscript"/>
        </w:rPr>
        <w:footnoteReference w:id="6"/>
      </w:r>
      <w:r w:rsidR="004D2CBC">
        <w:t xml:space="preserve"> Scientific data and public policy choice are thus intertwined,</w:t>
      </w:r>
      <w:r w:rsidR="004D2CBC">
        <w:rPr>
          <w:rStyle w:val="FootnoteReference"/>
        </w:rPr>
        <w:footnoteReference w:id="7"/>
      </w:r>
      <w:r w:rsidR="004D2CBC">
        <w:t xml:space="preserve"> with science informing policy decisions and policy preferences encouraging the focus on scientific inquiry.</w:t>
      </w:r>
    </w:p>
    <w:p w14:paraId="7B6CB77E" w14:textId="77777777" w:rsidR="00A03A87" w:rsidRPr="00A03A87" w:rsidRDefault="00A03A87" w:rsidP="00A03A87"/>
    <w:p w14:paraId="14C8533D" w14:textId="361AAFAE" w:rsidR="00A03A87" w:rsidRPr="00A03A87" w:rsidRDefault="00A03A87" w:rsidP="00A03A87">
      <w:r w:rsidRPr="00A03A87">
        <w:t xml:space="preserve">While the consequences of </w:t>
      </w:r>
      <w:r w:rsidR="00271B13">
        <w:t>distorted</w:t>
      </w:r>
      <w:r w:rsidRPr="00A03A87">
        <w:t xml:space="preserve"> science are understood, </w:t>
      </w:r>
      <w:r w:rsidR="00271B13">
        <w:t xml:space="preserve">how facts become myth </w:t>
      </w:r>
      <w:r w:rsidRPr="00A03A87">
        <w:t>remains unclear.</w:t>
      </w:r>
      <w:r w:rsidR="00271B13">
        <w:t xml:space="preserve"> There are numerous possible culprits. Some</w:t>
      </w:r>
      <w:r w:rsidRPr="00A03A87">
        <w:t xml:space="preserve"> scientists falsify their own findings for professional gain.</w:t>
      </w:r>
      <w:r w:rsidRPr="00A03A87">
        <w:rPr>
          <w:vertAlign w:val="superscript"/>
        </w:rPr>
        <w:footnoteReference w:id="8"/>
      </w:r>
      <w:r w:rsidRPr="00A03A87">
        <w:t xml:space="preserve"> </w:t>
      </w:r>
      <w:r w:rsidR="00271B13">
        <w:t>I</w:t>
      </w:r>
      <w:r w:rsidRPr="00A03A87">
        <w:t xml:space="preserve">nformation intermediaries such as publishers and the press </w:t>
      </w:r>
      <w:r w:rsidR="00005E25">
        <w:t xml:space="preserve">have been criticized </w:t>
      </w:r>
      <w:r w:rsidRPr="00A03A87">
        <w:t xml:space="preserve">for poorly conveying </w:t>
      </w:r>
      <w:r w:rsidR="00005E25">
        <w:t>scientific knowledge</w:t>
      </w:r>
      <w:r w:rsidRPr="00A03A87">
        <w:t>.</w:t>
      </w:r>
      <w:r w:rsidRPr="00A03A87">
        <w:rPr>
          <w:vertAlign w:val="superscript"/>
        </w:rPr>
        <w:footnoteReference w:id="9"/>
      </w:r>
      <w:r w:rsidRPr="00A03A87">
        <w:t xml:space="preserve"> </w:t>
      </w:r>
      <w:r w:rsidR="00271B13">
        <w:t xml:space="preserve">Lawmakers serving political </w:t>
      </w:r>
      <w:r w:rsidR="00971A1C">
        <w:t>interests</w:t>
      </w:r>
      <w:r w:rsidR="00271B13">
        <w:t xml:space="preserve"> disrupt scientific initiatives that would better inform regulatory policy.</w:t>
      </w:r>
      <w:r w:rsidR="00271B13">
        <w:rPr>
          <w:rStyle w:val="FootnoteReference"/>
        </w:rPr>
        <w:footnoteReference w:id="10"/>
      </w:r>
      <w:r w:rsidR="00271B13">
        <w:t xml:space="preserve"> C</w:t>
      </w:r>
      <w:r w:rsidRPr="00A03A87">
        <w:t xml:space="preserve">onsumers, overloaded with information and susceptible to </w:t>
      </w:r>
      <w:r w:rsidRPr="00A03A87">
        <w:lastRenderedPageBreak/>
        <w:t>misapprehension,</w:t>
      </w:r>
      <w:r w:rsidRPr="00A03A87">
        <w:rPr>
          <w:vertAlign w:val="superscript"/>
        </w:rPr>
        <w:footnoteReference w:id="11"/>
      </w:r>
      <w:r w:rsidRPr="00A03A87">
        <w:t xml:space="preserve"> </w:t>
      </w:r>
      <w:r w:rsidR="00271B13">
        <w:t>can easily misinterpret scientific facts</w:t>
      </w:r>
      <w:r w:rsidRPr="00A03A87">
        <w:t>.</w:t>
      </w:r>
      <w:r w:rsidRPr="00A03A87">
        <w:rPr>
          <w:vertAlign w:val="superscript"/>
        </w:rPr>
        <w:footnoteReference w:id="12"/>
      </w:r>
      <w:r w:rsidRPr="00A03A87">
        <w:t xml:space="preserve"> </w:t>
      </w:r>
      <w:r w:rsidR="00971A1C">
        <w:t>At virtually every link in the information supply chain, there is ample opportunity for original science to be disfigured in service of a personal agenda. I</w:t>
      </w:r>
      <w:r w:rsidRPr="00A03A87">
        <w:t>t is the task of academics</w:t>
      </w:r>
      <w:r w:rsidR="00971A1C">
        <w:t>,</w:t>
      </w:r>
      <w:r w:rsidRPr="00A03A87">
        <w:t xml:space="preserve"> in multiple disciplines</w:t>
      </w:r>
      <w:r w:rsidR="00971A1C">
        <w:t xml:space="preserve"> and especially </w:t>
      </w:r>
      <w:r w:rsidRPr="00A03A87">
        <w:t>law, to stem the tide.</w:t>
      </w:r>
      <w:r w:rsidR="000D1EF2">
        <w:t xml:space="preserve"> The first step is to understand more precisely how scientific fact becomes fiction.</w:t>
      </w:r>
    </w:p>
    <w:p w14:paraId="642E0561" w14:textId="77777777" w:rsidR="00A03A87" w:rsidRPr="00A03A87" w:rsidRDefault="00A03A87" w:rsidP="00A03A87"/>
    <w:p w14:paraId="5491393F" w14:textId="2961004D" w:rsidR="00A03A87" w:rsidRPr="00A03A87" w:rsidRDefault="00A03A87" w:rsidP="00A03A87">
      <w:r w:rsidRPr="00A03A87">
        <w:t>Through citation networks,</w:t>
      </w:r>
      <w:r w:rsidRPr="00A03A87">
        <w:rPr>
          <w:vertAlign w:val="superscript"/>
        </w:rPr>
        <w:footnoteReference w:id="13"/>
      </w:r>
      <w:r w:rsidRPr="00A03A87">
        <w:t xml:space="preserve"> focus groups,</w:t>
      </w:r>
      <w:r w:rsidRPr="00A03A87">
        <w:rPr>
          <w:vertAlign w:val="superscript"/>
        </w:rPr>
        <w:footnoteReference w:id="14"/>
      </w:r>
      <w:r w:rsidRPr="00A03A87">
        <w:t xml:space="preserve"> and content analysis,</w:t>
      </w:r>
      <w:r w:rsidRPr="00A03A87">
        <w:rPr>
          <w:vertAlign w:val="superscript"/>
        </w:rPr>
        <w:footnoteReference w:id="15"/>
      </w:r>
      <w:r w:rsidRPr="00A03A87">
        <w:t xml:space="preserve"> scholars have studied knowledge dissemination at a high level. Yet few articles in the legal literature take a micro-view of how information spreads. Micro-level analysis can illuminate nefarious motives, expose weak arguments, and track precisely and incrementally how fact becomes fiction. The more the legal literature knows about how science is corrupted at an individual level, the more effective</w:t>
      </w:r>
      <w:r w:rsidR="000D1EF2">
        <w:t>ly</w:t>
      </w:r>
      <w:r w:rsidRPr="00A03A87">
        <w:t xml:space="preserve"> it can </w:t>
      </w:r>
      <w:r w:rsidR="000D1EF2">
        <w:t>respond</w:t>
      </w:r>
      <w:r w:rsidRPr="00A03A87">
        <w:t xml:space="preserve"> to threats </w:t>
      </w:r>
      <w:r w:rsidR="000D1EF2">
        <w:t>at the public policy level</w:t>
      </w:r>
      <w:r w:rsidRPr="00A03A87">
        <w:t>. Lingering gaps between law and science deter sound legal policy, impede advances in public health and have “enormous practical consequences” for lawyers, scientists, and society.</w:t>
      </w:r>
      <w:r w:rsidRPr="00A03A87">
        <w:rPr>
          <w:vertAlign w:val="superscript"/>
        </w:rPr>
        <w:footnoteReference w:id="16"/>
      </w:r>
    </w:p>
    <w:p w14:paraId="624E0C03" w14:textId="77777777" w:rsidR="00A03A87" w:rsidRPr="00A03A87" w:rsidRDefault="00A03A87" w:rsidP="00A03A87"/>
    <w:p w14:paraId="7FCE8D0E" w14:textId="41580717" w:rsidR="000D1EF2" w:rsidRDefault="00A03A87" w:rsidP="00A03A87">
      <w:r w:rsidRPr="00A03A87">
        <w:t>Responding to this gap in the literature, this article explores how fact becomes fiction through a case study of a single claim: the consumption of genetically modified organisms (GMOs) causes autism in humans. This claim</w:t>
      </w:r>
      <w:r w:rsidR="000D1EF2">
        <w:t xml:space="preserve"> is especially valuable for study because it </w:t>
      </w:r>
      <w:r w:rsidRPr="00A03A87">
        <w:t>sits at the intersection of two of the most controversial issues in public health. A worldwide movement fiercely opposes GMOs,</w:t>
      </w:r>
      <w:r w:rsidRPr="00A03A87">
        <w:rPr>
          <w:vertAlign w:val="superscript"/>
        </w:rPr>
        <w:footnoteReference w:id="17"/>
      </w:r>
      <w:r w:rsidRPr="00A03A87">
        <w:t xml:space="preserve"> which attributes illnesses ranging from cancer to food poisoning to consumption of genetically modified products.</w:t>
      </w:r>
      <w:r w:rsidRPr="00A03A87">
        <w:rPr>
          <w:vertAlign w:val="superscript"/>
        </w:rPr>
        <w:footnoteReference w:id="18"/>
      </w:r>
      <w:r w:rsidRPr="00A03A87">
        <w:t xml:space="preserve"> A similarly worldwide movement aggressively blames numerous practices, most notably vaccines, as causes of </w:t>
      </w:r>
      <w:r w:rsidR="000D1EF2">
        <w:t>autism spectrum disorder</w:t>
      </w:r>
      <w:r w:rsidRPr="00A03A87">
        <w:t>.</w:t>
      </w:r>
      <w:r w:rsidRPr="00A03A87">
        <w:rPr>
          <w:vertAlign w:val="superscript"/>
        </w:rPr>
        <w:footnoteReference w:id="19"/>
      </w:r>
      <w:r w:rsidRPr="00A03A87">
        <w:t xml:space="preserve"> Pairing the two as cause and consequence enables a unique opportunity to observe the shaping </w:t>
      </w:r>
      <w:r w:rsidR="000D1EF2">
        <w:t xml:space="preserve">the scientific knowledge by social </w:t>
      </w:r>
      <w:r w:rsidR="00A453DE">
        <w:t>movements</w:t>
      </w:r>
      <w:r w:rsidR="000D1EF2">
        <w:t xml:space="preserve"> that are both deeply influential and robustly science-skeptical.</w:t>
      </w:r>
    </w:p>
    <w:p w14:paraId="349BB492" w14:textId="77777777" w:rsidR="000D1EF2" w:rsidRDefault="000D1EF2" w:rsidP="00A03A87"/>
    <w:p w14:paraId="4CADEB7C" w14:textId="58EC15A3" w:rsidR="00A03A87" w:rsidRDefault="00A03A87" w:rsidP="00A03A87">
      <w:r w:rsidRPr="00A03A87">
        <w:lastRenderedPageBreak/>
        <w:t>To achieve this goal, this Article conducts a micro-level analysis of an individual chain of citation purporting to support the claim that GMOs cause autism.</w:t>
      </w:r>
      <w:bookmarkStart w:id="3" w:name="_Ref535240982"/>
      <w:r w:rsidRPr="00A03A87">
        <w:rPr>
          <w:vertAlign w:val="superscript"/>
        </w:rPr>
        <w:footnoteReference w:id="20"/>
      </w:r>
      <w:bookmarkEnd w:id="3"/>
      <w:r w:rsidRPr="00A03A87">
        <w:t xml:space="preserve"> This Article reviews a single publication claiming that GMOs cause autism. The article then checks the publication’s source and the source’s source for veracity. This continues until the citation chain ends. Unlike many close-knit citation networks,</w:t>
      </w:r>
      <w:r w:rsidRPr="00A03A87">
        <w:rPr>
          <w:vertAlign w:val="superscript"/>
        </w:rPr>
        <w:footnoteReference w:id="21"/>
      </w:r>
      <w:r w:rsidRPr="00A03A87">
        <w:t xml:space="preserve"> this chain passes through five forms of communication and crisscrosses both academic and popular sources. What begins in the pages of a scientific journal winds its way through press release, law review, and ultimately to a Korean-language online article. Some distortion is expected, but the results are striking. Over just a few citations, misinterpretations pile up so rapidly that the final message has nothing in common with the original source.</w:t>
      </w:r>
      <w:r w:rsidRPr="00A03A87">
        <w:rPr>
          <w:vertAlign w:val="superscript"/>
        </w:rPr>
        <w:footnoteReference w:id="22"/>
      </w:r>
      <w:r w:rsidRPr="00A03A87">
        <w:t xml:space="preserve"> A visual summary of the citation chain is presented in Exhibit 1.</w:t>
      </w:r>
    </w:p>
    <w:p w14:paraId="482156C7" w14:textId="420AF718" w:rsidR="00A03A87" w:rsidRDefault="00A03A87" w:rsidP="00A03A87"/>
    <w:p w14:paraId="7F51238B" w14:textId="07188D40" w:rsidR="008F337A" w:rsidRDefault="00A03A87" w:rsidP="008F337A">
      <w:r>
        <w:t>P</w:t>
      </w:r>
      <w:r w:rsidR="007C1291">
        <w:t xml:space="preserve">art I of this </w:t>
      </w:r>
      <w:r w:rsidR="002274D2">
        <w:t>A</w:t>
      </w:r>
      <w:r w:rsidR="007C1291">
        <w:t xml:space="preserve">rticle examines the </w:t>
      </w:r>
      <w:r>
        <w:t>role of citation in academic and public life and how citations in science can mislead</w:t>
      </w:r>
      <w:r w:rsidR="00005E25">
        <w:t xml:space="preserve"> </w:t>
      </w:r>
      <w:r>
        <w:t xml:space="preserve">rather than inform the reader. </w:t>
      </w:r>
      <w:r w:rsidR="008F337A">
        <w:t xml:space="preserve">The following Parts II through V </w:t>
      </w:r>
      <w:r>
        <w:t xml:space="preserve">track a chain of </w:t>
      </w:r>
      <w:r w:rsidR="008F337A">
        <w:t xml:space="preserve">citations to determine the origin of the claim </w:t>
      </w:r>
      <w:r>
        <w:t xml:space="preserve">that </w:t>
      </w:r>
      <w:r w:rsidR="008F337A">
        <w:t xml:space="preserve">GMOs causes autism. Each Part examines a single course, summarizing the work’s claims, evaluating its potential for misrepresentation, and appraising its fidelity to the source used to support the claim. Part II reviews a publication in a Korean-language webpage claiming that GMO consumption causes autism. Part III examines the source of that publication, a law review </w:t>
      </w:r>
      <w:r w:rsidR="00005E25">
        <w:t>article</w:t>
      </w:r>
      <w:r w:rsidR="008F337A">
        <w:t xml:space="preserve"> recommending US policy changes in GMO regulation.</w:t>
      </w:r>
      <w:r w:rsidR="007E4F20">
        <w:t xml:space="preserve"> The law review, in turn, cites a press release summarizing a scientific study examined in Part IV. Part V examines the </w:t>
      </w:r>
      <w:r w:rsidR="002E0911">
        <w:t xml:space="preserve">scientific </w:t>
      </w:r>
      <w:r w:rsidR="007E4F20">
        <w:t>study and to what extent its propositions support the claims in the pre</w:t>
      </w:r>
      <w:r w:rsidR="00594E0F">
        <w:t>ceding sources. Finally, Part VI</w:t>
      </w:r>
      <w:r w:rsidR="007E4F20">
        <w:t xml:space="preserve"> proposes recommendation</w:t>
      </w:r>
      <w:r w:rsidR="00005E25">
        <w:t>s</w:t>
      </w:r>
      <w:r w:rsidR="007E4F20">
        <w:t xml:space="preserve"> for deterring miscommunication and misinterpretation of science, presenting </w:t>
      </w:r>
      <w:r w:rsidR="00005E25">
        <w:t xml:space="preserve">a </w:t>
      </w:r>
      <w:r w:rsidR="007E4F20">
        <w:t>three-tiered defense against misleading claims from entering the public consciousness.</w:t>
      </w:r>
      <w:r w:rsidR="00594E0F">
        <w:t xml:space="preserve"> Part VII concludes.</w:t>
      </w:r>
      <w:r w:rsidR="00005E25">
        <w:rPr>
          <w:rStyle w:val="FootnoteReference"/>
        </w:rPr>
        <w:footnoteReference w:id="23"/>
      </w:r>
    </w:p>
    <w:p w14:paraId="66CD875A" w14:textId="77777777" w:rsidR="007C1291" w:rsidRDefault="007C1291" w:rsidP="007C1291"/>
    <w:p w14:paraId="5711A0EC" w14:textId="77777777" w:rsidR="00005E25" w:rsidRDefault="00005E25" w:rsidP="00237BC0">
      <w:pPr>
        <w:rPr>
          <w:b/>
        </w:rPr>
      </w:pPr>
    </w:p>
    <w:p w14:paraId="025D6C85" w14:textId="51A8E2CD" w:rsidR="007C1291" w:rsidRPr="00237BC0" w:rsidRDefault="00237BC0" w:rsidP="00237BC0">
      <w:pPr>
        <w:rPr>
          <w:b/>
        </w:rPr>
      </w:pPr>
      <w:r w:rsidRPr="00237BC0">
        <w:rPr>
          <w:b/>
        </w:rPr>
        <w:t xml:space="preserve">I. </w:t>
      </w:r>
      <w:r w:rsidR="007C1291" w:rsidRPr="00237BC0">
        <w:rPr>
          <w:b/>
        </w:rPr>
        <w:t xml:space="preserve">The </w:t>
      </w:r>
      <w:r w:rsidR="00A03A87">
        <w:rPr>
          <w:b/>
        </w:rPr>
        <w:t xml:space="preserve">Problems of Citation in </w:t>
      </w:r>
      <w:r w:rsidR="00262183">
        <w:rPr>
          <w:b/>
        </w:rPr>
        <w:t>Academe and the Public</w:t>
      </w:r>
    </w:p>
    <w:p w14:paraId="5518D6AC" w14:textId="3350CBC1" w:rsidR="007C1291" w:rsidRDefault="007C1291" w:rsidP="007C1291"/>
    <w:p w14:paraId="3DA5737F" w14:textId="2C3205EF" w:rsidR="00E10D99" w:rsidRPr="00E10D99" w:rsidRDefault="00E10D99" w:rsidP="007C1291">
      <w:r>
        <w:rPr>
          <w:i/>
        </w:rPr>
        <w:t xml:space="preserve">A. The </w:t>
      </w:r>
      <w:r w:rsidR="00262183">
        <w:rPr>
          <w:i/>
        </w:rPr>
        <w:t>History of and Motives for</w:t>
      </w:r>
      <w:r>
        <w:rPr>
          <w:i/>
        </w:rPr>
        <w:t xml:space="preserve"> Citation</w:t>
      </w:r>
    </w:p>
    <w:p w14:paraId="07E7B3EE" w14:textId="77777777" w:rsidR="00E10D99" w:rsidRDefault="00E10D99" w:rsidP="007C1291"/>
    <w:p w14:paraId="34F072B5" w14:textId="5B9E0405" w:rsidR="007C1291" w:rsidRDefault="007C1291" w:rsidP="007C1291">
      <w:r>
        <w:lastRenderedPageBreak/>
        <w:t>A citation is a method for establishing relationships between documents.</w:t>
      </w:r>
      <w:r>
        <w:rPr>
          <w:rStyle w:val="FootnoteReference"/>
        </w:rPr>
        <w:footnoteReference w:id="24"/>
      </w:r>
      <w:r>
        <w:t xml:space="preserve"> The citation of an earlier document by a new one has been in existence for centuries.</w:t>
      </w:r>
      <w:r>
        <w:rPr>
          <w:rStyle w:val="FootnoteReference"/>
        </w:rPr>
        <w:footnoteReference w:id="25"/>
      </w:r>
      <w:r>
        <w:t xml:space="preserve"> Modern citation analysis traces back to Eugene Garfield’s 1955 invention of what is known today as the journal impact factor, used heavily in the social and hard sciences.</w:t>
      </w:r>
      <w:bookmarkStart w:id="4" w:name="_Ref535241082"/>
      <w:r>
        <w:rPr>
          <w:rStyle w:val="FootnoteReference"/>
        </w:rPr>
        <w:footnoteReference w:id="26"/>
      </w:r>
      <w:bookmarkEnd w:id="4"/>
      <w:r>
        <w:t xml:space="preserve"> Garfield credits the inspiration for the impact factor to Shepard’s Citations, a citation index used in the legal profession since 1873.</w:t>
      </w:r>
      <w:r>
        <w:rPr>
          <w:rStyle w:val="FootnoteReference"/>
        </w:rPr>
        <w:footnoteReference w:id="27"/>
      </w:r>
      <w:r>
        <w:t xml:space="preserve"> Since then, the discipline of </w:t>
      </w:r>
      <w:proofErr w:type="spellStart"/>
      <w:r>
        <w:t>scientometrics</w:t>
      </w:r>
      <w:proofErr w:type="spellEnd"/>
      <w:r>
        <w:t xml:space="preserve"> has evolved to analyze and measure the importance and influence of citations across disciplines.</w:t>
      </w:r>
      <w:r>
        <w:rPr>
          <w:rStyle w:val="FootnoteReference"/>
        </w:rPr>
        <w:footnoteReference w:id="28"/>
      </w:r>
    </w:p>
    <w:p w14:paraId="580D18AB" w14:textId="097844B2" w:rsidR="004242B5" w:rsidRDefault="004242B5" w:rsidP="007C1291"/>
    <w:p w14:paraId="65F01BB5" w14:textId="2406FAEF" w:rsidR="004242B5" w:rsidRDefault="004242B5" w:rsidP="007C1291">
      <w:r w:rsidRPr="004242B5">
        <w:t>The humble citation plays an important role of conveying information in academic exposition.</w:t>
      </w:r>
      <w:r w:rsidRPr="004242B5">
        <w:rPr>
          <w:vertAlign w:val="superscript"/>
        </w:rPr>
        <w:footnoteReference w:id="29"/>
      </w:r>
      <w:r w:rsidRPr="004242B5">
        <w:t xml:space="preserve"> Citations provide justification for arguments and show to what extent an idea is novel or established.</w:t>
      </w:r>
      <w:r w:rsidRPr="004242B5">
        <w:rPr>
          <w:vertAlign w:val="superscript"/>
        </w:rPr>
        <w:footnoteReference w:id="30"/>
      </w:r>
      <w:r w:rsidRPr="004242B5">
        <w:t xml:space="preserve"> Citations also signal allegiance to a group of thinkers or a particular academic orientation.</w:t>
      </w:r>
      <w:r w:rsidRPr="004242B5">
        <w:rPr>
          <w:vertAlign w:val="superscript"/>
        </w:rPr>
        <w:footnoteReference w:id="31"/>
      </w:r>
      <w:r w:rsidRPr="004242B5">
        <w:t xml:space="preserve"> Citations inform the reader that the author cares enough about the subject to integrate and be informed by prior work in the field.</w:t>
      </w:r>
      <w:r w:rsidRPr="004242B5">
        <w:rPr>
          <w:vertAlign w:val="superscript"/>
        </w:rPr>
        <w:footnoteReference w:id="32"/>
      </w:r>
      <w:r w:rsidRPr="004242B5">
        <w:t xml:space="preserve"> </w:t>
      </w:r>
      <w:r>
        <w:t>Honoring leaders in the field or the marking of seminal publications in the discipline can also motivate citation by others.</w:t>
      </w:r>
    </w:p>
    <w:p w14:paraId="66860F5C" w14:textId="6D3EB3AA" w:rsidR="004242B5" w:rsidRDefault="004242B5" w:rsidP="007C1291"/>
    <w:p w14:paraId="0647BFD8" w14:textId="30D2FD97" w:rsidR="00194F0C" w:rsidRPr="00D32FDC" w:rsidRDefault="005F53CF" w:rsidP="00194F0C">
      <w:r>
        <w:t>Citations are supposed to record the “work of those individuals whose ideas, theories, or research have directly influenced your work.”</w:t>
      </w:r>
      <w:bookmarkStart w:id="5" w:name="_Ref535241218"/>
      <w:r>
        <w:rPr>
          <w:rStyle w:val="FootnoteReference"/>
        </w:rPr>
        <w:footnoteReference w:id="33"/>
      </w:r>
      <w:bookmarkEnd w:id="5"/>
      <w:r>
        <w:t xml:space="preserve"> Yet there is no guarantee that a reference list is a full catalog of influences. </w:t>
      </w:r>
      <w:r w:rsidR="008D108C">
        <w:t>Even if a source is available, authors may not cite every source they read.</w:t>
      </w:r>
      <w:bookmarkStart w:id="6" w:name="_Ref535500694"/>
      <w:r w:rsidR="008D108C">
        <w:rPr>
          <w:rStyle w:val="FootnoteReference"/>
        </w:rPr>
        <w:footnoteReference w:id="34"/>
      </w:r>
      <w:bookmarkEnd w:id="6"/>
      <w:r w:rsidR="008D108C">
        <w:t xml:space="preserve"> Authors may also not read every source they cite.</w:t>
      </w:r>
      <w:r w:rsidR="008D108C">
        <w:rPr>
          <w:rStyle w:val="FootnoteReference"/>
        </w:rPr>
        <w:footnoteReference w:id="35"/>
      </w:r>
      <w:r w:rsidR="008D108C">
        <w:t xml:space="preserve"> Even if an author is completely honest, there is no guarantee that an </w:t>
      </w:r>
      <w:r w:rsidR="008D108C">
        <w:lastRenderedPageBreak/>
        <w:t>author utilized and cited the optimal available sources.</w:t>
      </w:r>
      <w:r w:rsidR="008D108C">
        <w:rPr>
          <w:rStyle w:val="FootnoteReference"/>
        </w:rPr>
        <w:footnoteReference w:id="36"/>
      </w:r>
      <w:r>
        <w:t xml:space="preserve"> For example, o</w:t>
      </w:r>
      <w:r w:rsidR="00194F0C">
        <w:t xml:space="preserve">ne of the most influential efforts in modern biology, Gregor Mendel’s </w:t>
      </w:r>
      <w:r w:rsidR="00262183">
        <w:t xml:space="preserve">seminal </w:t>
      </w:r>
      <w:r w:rsidR="00194F0C">
        <w:t xml:space="preserve">work on pea plants </w:t>
      </w:r>
      <w:r w:rsidR="00262183">
        <w:t>that foreshadowed</w:t>
      </w:r>
      <w:r w:rsidR="00194F0C">
        <w:t xml:space="preserve"> modern genetics, was published in the obscure </w:t>
      </w:r>
      <w:r w:rsidR="00194F0C">
        <w:rPr>
          <w:i/>
        </w:rPr>
        <w:t xml:space="preserve">Proceedings of Brno National Science Society </w:t>
      </w:r>
      <w:r w:rsidR="00194F0C">
        <w:t>and was left to languish there for decades.</w:t>
      </w:r>
      <w:bookmarkStart w:id="7" w:name="_Ref535241361"/>
      <w:r w:rsidR="00194F0C">
        <w:rPr>
          <w:rStyle w:val="FootnoteReference"/>
        </w:rPr>
        <w:footnoteReference w:id="37"/>
      </w:r>
      <w:bookmarkEnd w:id="7"/>
      <w:r w:rsidR="00194F0C">
        <w:t xml:space="preserve"> Cited only four times, it virtually disappeared from the scientific literature even while</w:t>
      </w:r>
      <w:r w:rsidR="00262183">
        <w:t xml:space="preserve"> </w:t>
      </w:r>
      <w:r w:rsidR="00194F0C">
        <w:t xml:space="preserve">other scientists were </w:t>
      </w:r>
      <w:r w:rsidR="00262183">
        <w:t xml:space="preserve">concurrently </w:t>
      </w:r>
      <w:r w:rsidR="00194F0C">
        <w:t>investigating similar ideas.</w:t>
      </w:r>
      <w:r w:rsidR="00194F0C">
        <w:rPr>
          <w:rStyle w:val="FootnoteReference"/>
        </w:rPr>
        <w:footnoteReference w:id="38"/>
      </w:r>
      <w:r w:rsidR="00194F0C">
        <w:t xml:space="preserve"> Only after forty years was Mendel’s groundbreaking work reluctantly cited and attributed by later scholars.</w:t>
      </w:r>
      <w:r w:rsidR="00194F0C">
        <w:rPr>
          <w:rStyle w:val="FootnoteReference"/>
        </w:rPr>
        <w:footnoteReference w:id="39"/>
      </w:r>
    </w:p>
    <w:p w14:paraId="3B63FF59" w14:textId="77777777" w:rsidR="00194F0C" w:rsidRDefault="00194F0C" w:rsidP="008D108C"/>
    <w:p w14:paraId="27719D3E" w14:textId="05CA64A3" w:rsidR="00262183" w:rsidRDefault="008C2AF5" w:rsidP="007C1291">
      <w:r>
        <w:t xml:space="preserve">Not every motive for citation </w:t>
      </w:r>
      <w:r w:rsidR="00262183">
        <w:t>serves</w:t>
      </w:r>
      <w:r w:rsidR="008D108C">
        <w:t xml:space="preserve"> the greater good</w:t>
      </w:r>
      <w:r>
        <w:t>.</w:t>
      </w:r>
      <w:r w:rsidR="005C796C">
        <w:rPr>
          <w:rStyle w:val="FootnoteReference"/>
        </w:rPr>
        <w:footnoteReference w:id="40"/>
      </w:r>
      <w:r>
        <w:t xml:space="preserve"> </w:t>
      </w:r>
      <w:r w:rsidR="007C1291">
        <w:t>Academic collaborat</w:t>
      </w:r>
      <w:r>
        <w:t>or</w:t>
      </w:r>
      <w:r w:rsidR="007C1291">
        <w:t>s and friends can artificially increase their citation count</w:t>
      </w:r>
      <w:r w:rsidR="00262183">
        <w:t>s</w:t>
      </w:r>
      <w:r w:rsidR="007C1291">
        <w:t xml:space="preserve"> through </w:t>
      </w:r>
      <w:r w:rsidR="00262183">
        <w:t>excessive</w:t>
      </w:r>
      <w:r>
        <w:t xml:space="preserve"> </w:t>
      </w:r>
      <w:r w:rsidR="007C1291">
        <w:t>citations of each other’s work.</w:t>
      </w:r>
      <w:r w:rsidR="007C1291">
        <w:rPr>
          <w:rStyle w:val="FootnoteReference"/>
        </w:rPr>
        <w:footnoteReference w:id="41"/>
      </w:r>
      <w:r w:rsidR="007C1291">
        <w:t xml:space="preserve"> Authors can also </w:t>
      </w:r>
      <w:r w:rsidR="00262183">
        <w:t>over rely</w:t>
      </w:r>
      <w:r w:rsidR="007C1291">
        <w:t xml:space="preserve"> on citations from elite journals </w:t>
      </w:r>
      <w:r w:rsidR="00262183">
        <w:t>to free ride</w:t>
      </w:r>
      <w:r w:rsidR="007C1291">
        <w:t xml:space="preserve"> legitimacy even if citations to lesser journals would be more appropriate. </w:t>
      </w:r>
      <w:r w:rsidR="00262183">
        <w:t xml:space="preserve">Piling on a </w:t>
      </w:r>
      <w:r w:rsidR="007C1291">
        <w:t>lengthy string of citations</w:t>
      </w:r>
      <w:r w:rsidR="00262183">
        <w:t xml:space="preserve">, as legal scholars are inclined to do, give a legitimizing halo effect that may not necessarily be warranted. </w:t>
      </w:r>
      <w:r w:rsidR="007C1291">
        <w:t xml:space="preserve"> </w:t>
      </w:r>
    </w:p>
    <w:p w14:paraId="37561D90" w14:textId="77777777" w:rsidR="00262183" w:rsidRDefault="00262183" w:rsidP="007C1291"/>
    <w:p w14:paraId="4EC037E8" w14:textId="6497D50C" w:rsidR="007C1291" w:rsidRDefault="007C1291" w:rsidP="007C1291">
      <w:r>
        <w:t>Citation</w:t>
      </w:r>
      <w:r w:rsidR="00262183">
        <w:t>s can also manipulate the objectivity of peer-review.</w:t>
      </w:r>
      <w:r w:rsidR="003910DD">
        <w:t xml:space="preserve"> </w:t>
      </w:r>
      <w:r>
        <w:t xml:space="preserve">In an anonymized submission, repeated citations to a single scholar’s work could signal the author’s identity of that work, thereby breaking the wall of blind review and enabling the author </w:t>
      </w:r>
      <w:r w:rsidR="00262183">
        <w:t xml:space="preserve">to leverage his or her status </w:t>
      </w:r>
      <w:r w:rsidR="003910DD">
        <w:t xml:space="preserve">to encourage </w:t>
      </w:r>
      <w:r>
        <w:t>acceptance of the manuscript. Prospective authors with a manuscript under review may disproportionately cite that journal in order to curry favor with the editor.</w:t>
      </w:r>
      <w:bookmarkStart w:id="8" w:name="_Ref535241392"/>
      <w:r>
        <w:rPr>
          <w:rStyle w:val="FootnoteReference"/>
        </w:rPr>
        <w:footnoteReference w:id="42"/>
      </w:r>
      <w:bookmarkEnd w:id="8"/>
      <w:r>
        <w:t xml:space="preserve"> </w:t>
      </w:r>
      <w:r w:rsidR="003910DD">
        <w:t xml:space="preserve">Authors may even cite to publications written by potential reviewers in order to discourage rejection. Citations can be the </w:t>
      </w:r>
      <w:r>
        <w:t xml:space="preserve">product of </w:t>
      </w:r>
      <w:r w:rsidR="003910DD">
        <w:t xml:space="preserve">outright </w:t>
      </w:r>
      <w:r>
        <w:t>coercion</w:t>
      </w:r>
      <w:r w:rsidR="003910DD">
        <w:t>. E</w:t>
      </w:r>
      <w:r>
        <w:t xml:space="preserve">ditors of a journal </w:t>
      </w:r>
      <w:r w:rsidR="003910DD">
        <w:t xml:space="preserve">may </w:t>
      </w:r>
      <w:r>
        <w:t>demand that prospective authors cite their journal as a condition for acceptance</w:t>
      </w:r>
      <w:r w:rsidR="003910DD">
        <w:t xml:space="preserve"> in order to prop up the journal’s impact factor</w:t>
      </w:r>
      <w:r>
        <w:t>.</w:t>
      </w:r>
      <w:r>
        <w:rPr>
          <w:rStyle w:val="FootnoteReference"/>
        </w:rPr>
        <w:footnoteReference w:id="43"/>
      </w:r>
      <w:r>
        <w:t xml:space="preserve"> In this case, authors have little choice but to cite the requested sources or risk rejection of their manuscript.</w:t>
      </w:r>
      <w:r>
        <w:rPr>
          <w:rStyle w:val="FootnoteReference"/>
        </w:rPr>
        <w:footnoteReference w:id="44"/>
      </w:r>
    </w:p>
    <w:p w14:paraId="41915EA5" w14:textId="77777777" w:rsidR="007C1291" w:rsidRDefault="007C1291" w:rsidP="007C1291"/>
    <w:p w14:paraId="2898E8FF" w14:textId="57CA291B" w:rsidR="00BE3B67" w:rsidRPr="00BE3B67" w:rsidRDefault="00BE3B67" w:rsidP="007C1291">
      <w:pPr>
        <w:rPr>
          <w:i/>
        </w:rPr>
      </w:pPr>
      <w:r>
        <w:rPr>
          <w:i/>
        </w:rPr>
        <w:t xml:space="preserve">B. When Citation </w:t>
      </w:r>
      <w:r w:rsidR="00D258BF">
        <w:rPr>
          <w:i/>
        </w:rPr>
        <w:t xml:space="preserve">in Science </w:t>
      </w:r>
      <w:r>
        <w:rPr>
          <w:i/>
        </w:rPr>
        <w:t>Goes Awry</w:t>
      </w:r>
    </w:p>
    <w:p w14:paraId="0D2F3FE7" w14:textId="77777777" w:rsidR="00BE3B67" w:rsidRDefault="00BE3B67" w:rsidP="007C1291"/>
    <w:p w14:paraId="68B33C69" w14:textId="51ECCA2C" w:rsidR="007C1291" w:rsidRDefault="007C1291" w:rsidP="007C1291">
      <w:r>
        <w:t xml:space="preserve">One of the most substantial problems in </w:t>
      </w:r>
      <w:proofErr w:type="spellStart"/>
      <w:r>
        <w:t>scientometrics</w:t>
      </w:r>
      <w:proofErr w:type="spellEnd"/>
      <w:r>
        <w:t>, and citation generally, is the uncritical citation of previous works. Uncritical citation occurs when an author cites to a particular source without due consideration for the nature, accuracy, or appropriate</w:t>
      </w:r>
      <w:r w:rsidR="005F53CF">
        <w:t>nes</w:t>
      </w:r>
      <w:r>
        <w:t xml:space="preserve">s of that source. Although a more prominent </w:t>
      </w:r>
      <w:r>
        <w:lastRenderedPageBreak/>
        <w:t>issue in the sciences, legal scholars have accused courts and one another of uncritical citation.</w:t>
      </w:r>
      <w:r>
        <w:rPr>
          <w:rStyle w:val="FootnoteReference"/>
        </w:rPr>
        <w:footnoteReference w:id="45"/>
      </w:r>
      <w:r>
        <w:t xml:space="preserve"> Uncritical citation can reinforce poor scholarship. In doctrinal fields such as law, for example, it can obfuscate the development of clear and interpretable jurisprudence.</w:t>
      </w:r>
      <w:bookmarkStart w:id="9" w:name="_Ref535241673"/>
      <w:r>
        <w:rPr>
          <w:rStyle w:val="FootnoteReference"/>
        </w:rPr>
        <w:footnoteReference w:id="46"/>
      </w:r>
      <w:bookmarkEnd w:id="9"/>
      <w:r>
        <w:t xml:space="preserve"> In the sciences, it can promote unsupported findings. An assertion for an improperly supported contention can be “overlooked with the passage of time” and eventually become viewed as fact.</w:t>
      </w:r>
      <w:bookmarkStart w:id="10" w:name="_Ref535241457"/>
      <w:r>
        <w:rPr>
          <w:rStyle w:val="FootnoteReference"/>
        </w:rPr>
        <w:footnoteReference w:id="47"/>
      </w:r>
      <w:bookmarkEnd w:id="10"/>
      <w:r>
        <w:t xml:space="preserve"> Uncritical citation that is “particularly abhorrent” is the “knowingly propagandizing [of] unsubstantiated claims” that can sway</w:t>
      </w:r>
      <w:r w:rsidR="003910DD">
        <w:t xml:space="preserve"> </w:t>
      </w:r>
      <w:r>
        <w:t>readers</w:t>
      </w:r>
      <w:r w:rsidR="003910DD">
        <w:t xml:space="preserve"> </w:t>
      </w:r>
      <w:r>
        <w:t>unaware of the hidden flaws of the argument made.</w:t>
      </w:r>
      <w:r>
        <w:rPr>
          <w:rStyle w:val="FootnoteReference"/>
        </w:rPr>
        <w:footnoteReference w:id="48"/>
      </w:r>
    </w:p>
    <w:p w14:paraId="6A21A748" w14:textId="77777777" w:rsidR="007C1291" w:rsidRDefault="007C1291" w:rsidP="007C1291"/>
    <w:p w14:paraId="281B6ED7" w14:textId="6914DACA" w:rsidR="007C1291" w:rsidRDefault="007C1291" w:rsidP="007C1291">
      <w:r>
        <w:t>Uncritical citation can embed untruths in a literature for decades. Early twentieth century Austrian biologist Paul Kammerer aggressively promoted in the technical and popular presses of his time that organisms can pass to offspring traits acquired in their lifetime.</w:t>
      </w:r>
      <w:r>
        <w:rPr>
          <w:rStyle w:val="FootnoteReference"/>
        </w:rPr>
        <w:footnoteReference w:id="49"/>
      </w:r>
      <w:r>
        <w:t xml:space="preserve"> Kammerer’s ideas were disproved, he was mired in scandal, and his theories and writings were believed to have “have fallen into oblivion.”</w:t>
      </w:r>
      <w:r>
        <w:rPr>
          <w:rStyle w:val="FootnoteReference"/>
        </w:rPr>
        <w:footnoteReference w:id="50"/>
      </w:r>
      <w:r>
        <w:t xml:space="preserve"> Decades later, however, Kammerer’s discredited ideas crept back into the literature through citations, as those who cited his findings were unaware or unwilling to mention the </w:t>
      </w:r>
      <w:r w:rsidR="00361073">
        <w:t>overwhelming</w:t>
      </w:r>
      <w:r w:rsidR="00C13F8C">
        <w:t xml:space="preserve"> </w:t>
      </w:r>
      <w:r>
        <w:t>criticisms against this work.</w:t>
      </w:r>
      <w:r>
        <w:rPr>
          <w:rStyle w:val="FootnoteReference"/>
        </w:rPr>
        <w:footnoteReference w:id="51"/>
      </w:r>
      <w:r>
        <w:t xml:space="preserve"> More recently, a review of scientist John </w:t>
      </w:r>
      <w:proofErr w:type="spellStart"/>
      <w:r>
        <w:t>Darsee’s</w:t>
      </w:r>
      <w:proofErr w:type="spellEnd"/>
      <w:r>
        <w:t xml:space="preserve"> publications found that, even after his work was discredited as fraudulent and some articles retracted, his articles continued to be cited for several years afterward.</w:t>
      </w:r>
      <w:r>
        <w:rPr>
          <w:rStyle w:val="FootnoteReference"/>
        </w:rPr>
        <w:footnoteReference w:id="52"/>
      </w:r>
      <w:r>
        <w:t xml:space="preserve"> The study of citations to </w:t>
      </w:r>
      <w:proofErr w:type="spellStart"/>
      <w:r>
        <w:t>Darsee</w:t>
      </w:r>
      <w:proofErr w:type="spellEnd"/>
      <w:r>
        <w:t xml:space="preserve"> </w:t>
      </w:r>
      <w:r w:rsidR="003910DD">
        <w:t xml:space="preserve">decade-old articles </w:t>
      </w:r>
      <w:r>
        <w:t xml:space="preserve">was published in 1992, but a review of the literature finds that </w:t>
      </w:r>
      <w:proofErr w:type="spellStart"/>
      <w:r>
        <w:t>Darsee’s</w:t>
      </w:r>
      <w:proofErr w:type="spellEnd"/>
      <w:r>
        <w:t xml:space="preserve"> works are still being positively cited as recently as </w:t>
      </w:r>
      <w:r>
        <w:lastRenderedPageBreak/>
        <w:t>2016.</w:t>
      </w:r>
      <w:r>
        <w:rPr>
          <w:rStyle w:val="FootnoteReference"/>
        </w:rPr>
        <w:footnoteReference w:id="53"/>
      </w:r>
      <w:r>
        <w:t xml:space="preserve"> Poor citation can encourage inaccurate conclusions and have an impact lasting well beyond the useful life of the original article. As one author aptly remarked, “[</w:t>
      </w:r>
      <w:proofErr w:type="spellStart"/>
      <w:r>
        <w:t>i</w:t>
      </w:r>
      <w:proofErr w:type="spellEnd"/>
      <w:r>
        <w:t>]</w:t>
      </w:r>
      <w:r w:rsidRPr="00201B60">
        <w:t>f the signposts are bad, so too may be the destination.</w:t>
      </w:r>
      <w:r>
        <w:t>”</w:t>
      </w:r>
      <w:r>
        <w:rPr>
          <w:rStyle w:val="FootnoteReference"/>
        </w:rPr>
        <w:footnoteReference w:id="54"/>
      </w:r>
    </w:p>
    <w:p w14:paraId="76A727BC" w14:textId="77777777" w:rsidR="007C1291" w:rsidRDefault="007C1291" w:rsidP="007C1291"/>
    <w:p w14:paraId="05AC4273" w14:textId="5D8B1576" w:rsidR="007C1291" w:rsidRDefault="007C1291" w:rsidP="007C1291">
      <w:r>
        <w:t xml:space="preserve">When a non-academic writer relying on a source sacrifices nuance on the altar of an agenda, the signposts can be bad indeed. On May 1, 2008, </w:t>
      </w:r>
      <w:r>
        <w:rPr>
          <w:i/>
        </w:rPr>
        <w:t>Nature</w:t>
      </w:r>
      <w:r>
        <w:t xml:space="preserve"> published a seemingly innocuous letter</w:t>
      </w:r>
      <w:r>
        <w:rPr>
          <w:rStyle w:val="FootnoteReference"/>
        </w:rPr>
        <w:footnoteReference w:id="55"/>
      </w:r>
      <w:r>
        <w:t xml:space="preserve"> called “Advancing Decadal-Scale Climate Prediction in the North Atlantic Sector.”</w:t>
      </w:r>
      <w:bookmarkStart w:id="11" w:name="_Ref535241707"/>
      <w:r>
        <w:rPr>
          <w:rStyle w:val="FootnoteReference"/>
        </w:rPr>
        <w:footnoteReference w:id="56"/>
      </w:r>
      <w:bookmarkEnd w:id="11"/>
      <w:r>
        <w:t xml:space="preserve"> The letter noted that climate variability in the North Atlantic may oscillate over a period of 70-80 years.</w:t>
      </w:r>
      <w:r>
        <w:rPr>
          <w:rStyle w:val="FootnoteReference"/>
        </w:rPr>
        <w:footnoteReference w:id="57"/>
      </w:r>
      <w:r>
        <w:t xml:space="preserve"> These repetitive variations, however, are challenging to predict on a decade-to-decade basis.</w:t>
      </w:r>
      <w:r>
        <w:rPr>
          <w:rStyle w:val="FootnoteReference"/>
        </w:rPr>
        <w:footnoteReference w:id="58"/>
      </w:r>
      <w:r>
        <w:t xml:space="preserve"> The authors introduce a new approach to climate prediction that promises to improve predictive simulations over other methods.</w:t>
      </w:r>
      <w:r>
        <w:rPr>
          <w:rStyle w:val="FootnoteReference"/>
        </w:rPr>
        <w:footnoteReference w:id="59"/>
      </w:r>
      <w:r>
        <w:t xml:space="preserve"> Using their proposed method, the authors forecasted that the “meridional overturning circulation” would return to its long-term mean over the next decade.</w:t>
      </w:r>
      <w:r>
        <w:rPr>
          <w:rStyle w:val="FootnoteReference"/>
        </w:rPr>
        <w:footnoteReference w:id="60"/>
      </w:r>
      <w:r>
        <w:t xml:space="preserve"> Furthermore, North Atlantic sea surface temperatures would cool slightly and Pacific sea surface temperatures will remain unchanged.</w:t>
      </w:r>
      <w:r>
        <w:rPr>
          <w:rStyle w:val="FootnoteReference"/>
        </w:rPr>
        <w:footnoteReference w:id="61"/>
      </w:r>
      <w:r>
        <w:t xml:space="preserve"> The authors concluded their results were promising given limitations of existing models and predicted that “useful decadal predictions may be in reach.”</w:t>
      </w:r>
      <w:r w:rsidR="00D77661">
        <w:rPr>
          <w:rStyle w:val="FootnoteReference"/>
        </w:rPr>
        <w:footnoteReference w:id="62"/>
      </w:r>
    </w:p>
    <w:p w14:paraId="7BBC948F" w14:textId="77777777" w:rsidR="007C1291" w:rsidRDefault="007C1291" w:rsidP="007C1291"/>
    <w:p w14:paraId="0C9C28DD" w14:textId="7CD871CD" w:rsidR="007C1291" w:rsidRDefault="00801967" w:rsidP="007C1291">
      <w:r>
        <w:t>A</w:t>
      </w:r>
      <w:r w:rsidR="007C1291">
        <w:t xml:space="preserve"> newspaper interpreted the</w:t>
      </w:r>
      <w:r>
        <w:t xml:space="preserve">se findings </w:t>
      </w:r>
      <w:r w:rsidR="003910DD">
        <w:t>to mean</w:t>
      </w:r>
      <w:r w:rsidR="007C1291">
        <w:t xml:space="preserve"> that climate </w:t>
      </w:r>
      <w:r>
        <w:t>chan</w:t>
      </w:r>
      <w:r w:rsidR="00530756">
        <w:t>g</w:t>
      </w:r>
      <w:r>
        <w:t xml:space="preserve">e </w:t>
      </w:r>
      <w:r w:rsidR="007C1291">
        <w:t>is a hoax.</w:t>
      </w:r>
      <w:bookmarkStart w:id="12" w:name="_Ref516586084"/>
      <w:r w:rsidR="007C1291">
        <w:rPr>
          <w:rStyle w:val="FootnoteReference"/>
        </w:rPr>
        <w:footnoteReference w:id="63"/>
      </w:r>
      <w:bookmarkEnd w:id="12"/>
      <w:r w:rsidR="007C1291">
        <w:t xml:space="preserve"> An article in the </w:t>
      </w:r>
      <w:r w:rsidR="007C1291" w:rsidRPr="003910DD">
        <w:rPr>
          <w:i/>
        </w:rPr>
        <w:t>Calgary Herald</w:t>
      </w:r>
      <w:r w:rsidR="007C1291">
        <w:t xml:space="preserve"> </w:t>
      </w:r>
      <w:r w:rsidR="003910DD">
        <w:t xml:space="preserve">reported </w:t>
      </w:r>
      <w:r w:rsidR="007C1291">
        <w:t>that: “</w:t>
      </w:r>
      <w:r w:rsidR="007C1291" w:rsidRPr="00BA77B2">
        <w:t>Imagine if Pope Benedict gave a speech saying the Catholic Church has had it wrong all these centuries; there is no reason priests shouldn't marry. That might generate the odd headline, no?</w:t>
      </w:r>
      <w:r w:rsidR="007C1291">
        <w:t>”</w:t>
      </w:r>
      <w:bookmarkStart w:id="13" w:name="_Ref535242103"/>
      <w:r w:rsidR="007C1291">
        <w:rPr>
          <w:rStyle w:val="FootnoteReference"/>
        </w:rPr>
        <w:footnoteReference w:id="64"/>
      </w:r>
      <w:bookmarkEnd w:id="13"/>
      <w:r w:rsidR="007C1291">
        <w:t xml:space="preserve"> The </w:t>
      </w:r>
      <w:r w:rsidR="007C1291" w:rsidRPr="003910DD">
        <w:rPr>
          <w:i/>
        </w:rPr>
        <w:t>Herald</w:t>
      </w:r>
      <w:r w:rsidR="007C1291">
        <w:t>, no stranger to accusations of reporting impropriety,</w:t>
      </w:r>
      <w:r w:rsidR="007C1291">
        <w:rPr>
          <w:rStyle w:val="FootnoteReference"/>
        </w:rPr>
        <w:footnoteReference w:id="65"/>
      </w:r>
      <w:r w:rsidR="007C1291">
        <w:t xml:space="preserve"> continued that “it has been beaten into our heads with the force and repetition of the rowing drum on a slave galley that the </w:t>
      </w:r>
      <w:r w:rsidR="007C1291">
        <w:lastRenderedPageBreak/>
        <w:t>Earth is warming” and that “the facts to the contrary are staring them in the face.”</w:t>
      </w:r>
      <w:r w:rsidR="007C1291">
        <w:rPr>
          <w:rStyle w:val="FootnoteReference"/>
        </w:rPr>
        <w:footnoteReference w:id="66"/>
      </w:r>
      <w:r w:rsidR="003910DD">
        <w:t xml:space="preserve"> </w:t>
      </w:r>
      <w:r>
        <w:t>W</w:t>
      </w:r>
      <w:r w:rsidR="007C1291">
        <w:t xml:space="preserve">ebsites cited the </w:t>
      </w:r>
      <w:r w:rsidR="007C1291" w:rsidRPr="003910DD">
        <w:rPr>
          <w:i/>
        </w:rPr>
        <w:t>Herald’s</w:t>
      </w:r>
      <w:r w:rsidR="007C1291">
        <w:t xml:space="preserve"> remarks, </w:t>
      </w:r>
      <w:r w:rsidR="003910DD">
        <w:t>headlining that</w:t>
      </w:r>
      <w:r w:rsidR="007C1291">
        <w:t xml:space="preserve"> “U.S. Media Ignoring </w:t>
      </w:r>
      <w:r w:rsidR="00C0484B">
        <w:t>A</w:t>
      </w:r>
      <w:r w:rsidR="007C1291">
        <w:t>bout Face by Leading Global Warning Proponent”</w:t>
      </w:r>
      <w:r w:rsidR="007C1291">
        <w:rPr>
          <w:rStyle w:val="FootnoteReference"/>
        </w:rPr>
        <w:footnoteReference w:id="67"/>
      </w:r>
      <w:r w:rsidR="007C1291">
        <w:t xml:space="preserve"> or simply </w:t>
      </w:r>
      <w:r>
        <w:t>reproducing</w:t>
      </w:r>
      <w:r w:rsidR="007C1291">
        <w:t xml:space="preserve"> the article entirely.</w:t>
      </w:r>
      <w:r w:rsidR="007C1291">
        <w:rPr>
          <w:rStyle w:val="FootnoteReference"/>
        </w:rPr>
        <w:footnoteReference w:id="68"/>
      </w:r>
      <w:r w:rsidR="007C1291">
        <w:t xml:space="preserve"> Interviewed later, Latif said, “[m]</w:t>
      </w:r>
      <w:proofErr w:type="spellStart"/>
      <w:r w:rsidR="007C1291">
        <w:t>aking</w:t>
      </w:r>
      <w:proofErr w:type="spellEnd"/>
      <w:r w:rsidR="007C1291">
        <w:t xml:space="preserve"> inferences about global warming from my short-term climate prediction is like comparing apples and oranges.”</w:t>
      </w:r>
      <w:r w:rsidR="007C1291">
        <w:rPr>
          <w:rStyle w:val="FootnoteReference"/>
        </w:rPr>
        <w:footnoteReference w:id="69"/>
      </w:r>
      <w:r w:rsidR="007C1291">
        <w:t xml:space="preserve"> According to Latif, the implication from his work that climate change was a ruse was preposterous.</w:t>
      </w:r>
      <w:bookmarkStart w:id="14" w:name="_Ref516586089"/>
      <w:r w:rsidR="007C1291">
        <w:rPr>
          <w:rStyle w:val="FootnoteReference"/>
        </w:rPr>
        <w:footnoteReference w:id="70"/>
      </w:r>
      <w:bookmarkEnd w:id="14"/>
      <w:r>
        <w:t xml:space="preserve"> Nonetheless, Latif’s subsequent, and unnecessary, clarifications did not </w:t>
      </w:r>
      <w:proofErr w:type="spellStart"/>
      <w:r>
        <w:t>unring</w:t>
      </w:r>
      <w:proofErr w:type="spellEnd"/>
      <w:r>
        <w:t xml:space="preserve"> the bell, as sites repeating the Herald’s misleading article are still freely available online.</w:t>
      </w:r>
    </w:p>
    <w:p w14:paraId="37B6CA4E" w14:textId="7A7BEE1F" w:rsidR="00801967" w:rsidRDefault="00801967" w:rsidP="007C1291"/>
    <w:p w14:paraId="5622B125" w14:textId="36F8D939" w:rsidR="00BE3B67" w:rsidRPr="000537A4" w:rsidRDefault="000537A4" w:rsidP="007C1291">
      <w:pPr>
        <w:rPr>
          <w:i/>
        </w:rPr>
      </w:pPr>
      <w:r>
        <w:rPr>
          <w:i/>
        </w:rPr>
        <w:t xml:space="preserve">C. </w:t>
      </w:r>
      <w:r w:rsidR="003517E4">
        <w:rPr>
          <w:i/>
        </w:rPr>
        <w:t xml:space="preserve">The Perfect Storm: </w:t>
      </w:r>
      <w:r>
        <w:rPr>
          <w:i/>
        </w:rPr>
        <w:t>Science and Superstition in the GMO</w:t>
      </w:r>
      <w:r w:rsidR="004327CA">
        <w:rPr>
          <w:i/>
        </w:rPr>
        <w:t>-</w:t>
      </w:r>
      <w:r>
        <w:rPr>
          <w:i/>
        </w:rPr>
        <w:t>Autism Debates</w:t>
      </w:r>
    </w:p>
    <w:p w14:paraId="0F3368A0" w14:textId="77777777" w:rsidR="000537A4" w:rsidRDefault="000537A4" w:rsidP="007C1291"/>
    <w:p w14:paraId="0D00B1C9" w14:textId="1692C1EE" w:rsidR="00F62E71" w:rsidRPr="00A57355" w:rsidRDefault="00BE3B67" w:rsidP="007C1291">
      <w:r>
        <w:t>There are few other</w:t>
      </w:r>
      <w:r w:rsidR="004C2846">
        <w:t xml:space="preserve"> scientific </w:t>
      </w:r>
      <w:r>
        <w:t xml:space="preserve">subjects where </w:t>
      </w:r>
      <w:r w:rsidR="004C2846">
        <w:t>research has</w:t>
      </w:r>
      <w:r>
        <w:t xml:space="preserve"> been </w:t>
      </w:r>
      <w:r w:rsidR="004C2846">
        <w:t xml:space="preserve">more </w:t>
      </w:r>
      <w:r>
        <w:t>ignored</w:t>
      </w:r>
      <w:r w:rsidR="004C2846">
        <w:t xml:space="preserve"> or misused </w:t>
      </w:r>
      <w:r>
        <w:t>than the causes of autism and the consequences of GMOs.</w:t>
      </w:r>
      <w:r>
        <w:rPr>
          <w:rStyle w:val="FootnoteReference"/>
        </w:rPr>
        <w:footnoteReference w:id="71"/>
      </w:r>
      <w:r>
        <w:t xml:space="preserve"> </w:t>
      </w:r>
      <w:r w:rsidR="00633BA1">
        <w:t xml:space="preserve">The causes of autism have been </w:t>
      </w:r>
      <w:r w:rsidR="002C2847">
        <w:t xml:space="preserve">misdirected </w:t>
      </w:r>
      <w:r w:rsidR="00633BA1">
        <w:t>for decades.</w:t>
      </w:r>
      <w:r w:rsidR="00BC1C0C">
        <w:t xml:space="preserve"> Early scientists studying autism </w:t>
      </w:r>
      <w:r w:rsidR="00165425">
        <w:t>believed that autism was caused by bad parenting by ‘refrigerator parents’ who wrecked their children by raising them in cold and unfeeling environments.</w:t>
      </w:r>
      <w:r w:rsidR="00165425">
        <w:rPr>
          <w:rStyle w:val="FootnoteReference"/>
        </w:rPr>
        <w:footnoteReference w:id="72"/>
      </w:r>
      <w:r w:rsidR="00165425">
        <w:t xml:space="preserve"> </w:t>
      </w:r>
      <w:r w:rsidR="00A57355">
        <w:t>Despite any factual basis, the refrigerator theory held on for at least twenty years.</w:t>
      </w:r>
      <w:r w:rsidR="00A57355">
        <w:rPr>
          <w:rStyle w:val="FootnoteReference"/>
        </w:rPr>
        <w:footnoteReference w:id="73"/>
      </w:r>
      <w:r w:rsidR="00A57355">
        <w:t xml:space="preserve"> </w:t>
      </w:r>
      <w:r w:rsidR="002C2847">
        <w:t>When therapies worked to alleviate symptoms, practitioners took the credit.</w:t>
      </w:r>
      <w:r w:rsidR="002C2847">
        <w:rPr>
          <w:rStyle w:val="FootnoteReference"/>
        </w:rPr>
        <w:footnoteReference w:id="74"/>
      </w:r>
      <w:r w:rsidR="002C2847">
        <w:t xml:space="preserve"> When the child did not respond to therapies, the parents took the blame.</w:t>
      </w:r>
      <w:r w:rsidR="002C2847">
        <w:rPr>
          <w:rStyle w:val="FootnoteReference"/>
        </w:rPr>
        <w:footnoteReference w:id="75"/>
      </w:r>
      <w:r w:rsidR="002C2847">
        <w:t xml:space="preserve"> </w:t>
      </w:r>
      <w:r w:rsidR="004C2846">
        <w:t>Decades later, a</w:t>
      </w:r>
      <w:r w:rsidR="00F62E71">
        <w:t xml:space="preserve">utism research was shocked again by the </w:t>
      </w:r>
      <w:r w:rsidR="00A57355">
        <w:t xml:space="preserve">now-notorious </w:t>
      </w:r>
      <w:r w:rsidR="00A57355">
        <w:rPr>
          <w:i/>
        </w:rPr>
        <w:t xml:space="preserve">Wakefield </w:t>
      </w:r>
      <w:r w:rsidR="00A57355">
        <w:t>paper, a published research article claiming that injection of the MMR vaccine was linked to incidence of autism spectrum disorders.</w:t>
      </w:r>
      <w:r w:rsidR="00A57355">
        <w:rPr>
          <w:rStyle w:val="FootnoteReference"/>
        </w:rPr>
        <w:footnoteReference w:id="76"/>
      </w:r>
      <w:r w:rsidR="00A57355">
        <w:t xml:space="preserve"> This triggered the modern anti-vaccine movement, claiming in part that vaccines overload the immune systems of young children and l</w:t>
      </w:r>
      <w:r w:rsidR="00C0484B">
        <w:t>eave</w:t>
      </w:r>
      <w:r w:rsidR="00A57355">
        <w:t xml:space="preserve"> them vulnerable to infections.</w:t>
      </w:r>
      <w:r w:rsidR="00A57355">
        <w:rPr>
          <w:rStyle w:val="FootnoteReference"/>
        </w:rPr>
        <w:footnoteReference w:id="77"/>
      </w:r>
    </w:p>
    <w:p w14:paraId="22F9B129" w14:textId="5DEA26DA" w:rsidR="00165425" w:rsidRDefault="00165425" w:rsidP="007C1291"/>
    <w:p w14:paraId="7AE15534" w14:textId="17269610" w:rsidR="009E452A" w:rsidRDefault="009E452A" w:rsidP="007C1291">
      <w:r>
        <w:t xml:space="preserve">Public consensus about GMOs has </w:t>
      </w:r>
      <w:r w:rsidR="0041477B">
        <w:t>also frayed</w:t>
      </w:r>
      <w:r>
        <w:t>. Genetic modification has been performed with plants and livestock for thousands of years.</w:t>
      </w:r>
      <w:bookmarkStart w:id="15" w:name="_Ref535242227"/>
      <w:r>
        <w:rPr>
          <w:rStyle w:val="FootnoteReference"/>
        </w:rPr>
        <w:footnoteReference w:id="78"/>
      </w:r>
      <w:bookmarkEnd w:id="15"/>
      <w:r>
        <w:t xml:space="preserve"> Modern genetic modification was first conducted in 1973, with scientists and others agreeing on general guidelines for appropriate use.</w:t>
      </w:r>
      <w:r>
        <w:rPr>
          <w:rStyle w:val="FootnoteReference"/>
        </w:rPr>
        <w:footnoteReference w:id="79"/>
      </w:r>
      <w:r>
        <w:t xml:space="preserve"> Research continued with little fanfare, and emerging success, until highly-public science-associated disasters </w:t>
      </w:r>
      <w:r w:rsidR="00FB3B17">
        <w:t xml:space="preserve">ranging from mad cow disease to controversial use of growth hormone </w:t>
      </w:r>
      <w:r w:rsidR="00FB3B17" w:rsidRPr="00153AD1">
        <w:t>recombinant bovine somatotropin</w:t>
      </w:r>
      <w:r w:rsidR="00FB3B17">
        <w:t xml:space="preserve"> </w:t>
      </w:r>
      <w:r>
        <w:t xml:space="preserve">shook public </w:t>
      </w:r>
      <w:r>
        <w:lastRenderedPageBreak/>
        <w:t>opinion.</w:t>
      </w:r>
      <w:r w:rsidR="009729A5">
        <w:rPr>
          <w:rStyle w:val="FootnoteReference"/>
        </w:rPr>
        <w:footnoteReference w:id="80"/>
      </w:r>
      <w:r w:rsidR="001C2F09">
        <w:t xml:space="preserve"> Meanwhile anti-GMO advocates criticized GMOs, including the introduction of GMOs into crops that better tolerated herbicide.</w:t>
      </w:r>
      <w:r w:rsidR="001C2F09">
        <w:rPr>
          <w:rStyle w:val="FootnoteReference"/>
        </w:rPr>
        <w:footnoteReference w:id="81"/>
      </w:r>
      <w:r w:rsidR="0041477B">
        <w:t xml:space="preserve"> Once widely associate</w:t>
      </w:r>
      <w:r w:rsidR="00AD45DC">
        <w:t>d</w:t>
      </w:r>
      <w:r w:rsidR="0041477B">
        <w:t xml:space="preserve"> with </w:t>
      </w:r>
      <w:r w:rsidR="0093536C">
        <w:t>improved quality of life</w:t>
      </w:r>
      <w:r w:rsidR="002C0EF1">
        <w:t xml:space="preserve"> and supported by overwhelming evidence of their safety</w:t>
      </w:r>
      <w:r w:rsidR="0093536C">
        <w:t>,</w:t>
      </w:r>
      <w:r w:rsidR="002C0EF1">
        <w:rPr>
          <w:rStyle w:val="FootnoteReference"/>
        </w:rPr>
        <w:footnoteReference w:id="82"/>
      </w:r>
      <w:r w:rsidR="0093536C">
        <w:t xml:space="preserve"> GMOs are </w:t>
      </w:r>
      <w:r w:rsidR="00532FDB">
        <w:t xml:space="preserve">now </w:t>
      </w:r>
      <w:r w:rsidR="0093536C">
        <w:t>perceived with growing suspicion,</w:t>
      </w:r>
      <w:r w:rsidR="002C0EF1">
        <w:rPr>
          <w:rStyle w:val="FootnoteReference"/>
        </w:rPr>
        <w:footnoteReference w:id="83"/>
      </w:r>
      <w:r w:rsidR="0093536C">
        <w:t xml:space="preserve"> resulting in labeling and other legislation designed to regulate products containing GMO ingredients.</w:t>
      </w:r>
      <w:r w:rsidR="004C51BA">
        <w:rPr>
          <w:rStyle w:val="FootnoteReference"/>
        </w:rPr>
        <w:footnoteReference w:id="84"/>
      </w:r>
    </w:p>
    <w:p w14:paraId="06D087A4" w14:textId="11DEE61F" w:rsidR="009E452A" w:rsidRDefault="009E452A" w:rsidP="007C1291"/>
    <w:p w14:paraId="0BC000F9" w14:textId="7B7419F8" w:rsidR="004327CA" w:rsidRPr="004327CA" w:rsidRDefault="004327CA" w:rsidP="004327CA">
      <w:r w:rsidRPr="004327CA">
        <w:t>The following Parts II-V explore how through an unbroken chain of citation can support the claim that GMOs cause autism. In each Part, a single course is examined in depth. Part II begins with the top-level source making an unconditional GMOs-autism claim. Part II.A.</w:t>
      </w:r>
      <w:r w:rsidR="00D258BF">
        <w:t xml:space="preserve"> summarizes the work’s key claims and </w:t>
      </w:r>
      <w:r w:rsidRPr="004327CA">
        <w:t>examines the context in which the work is published. Part II.B., show</w:t>
      </w:r>
      <w:r w:rsidR="00D258BF">
        <w:t>s</w:t>
      </w:r>
      <w:r w:rsidRPr="004327CA">
        <w:t xml:space="preserve"> how the work could be misinterpreted by the casual reader as offering a </w:t>
      </w:r>
      <w:r w:rsidR="00D258BF">
        <w:t xml:space="preserve">different or </w:t>
      </w:r>
      <w:r w:rsidRPr="004327CA">
        <w:t xml:space="preserve">more convincing conclusion than is justified. Part II.C., </w:t>
      </w:r>
      <w:r w:rsidR="00D258BF">
        <w:t>examines</w:t>
      </w:r>
      <w:r w:rsidRPr="004327CA">
        <w:t xml:space="preserve"> how the work relies on a particular source, </w:t>
      </w:r>
      <w:r w:rsidR="00D258BF">
        <w:t>and the veracity of that reliance</w:t>
      </w:r>
      <w:r w:rsidRPr="004327CA">
        <w:t xml:space="preserve"> by the author. Subsequent Parts III-V repeat this process for subsequent sources.</w:t>
      </w:r>
    </w:p>
    <w:p w14:paraId="2F2EE83D" w14:textId="77777777" w:rsidR="004327CA" w:rsidRDefault="004327CA" w:rsidP="007C1291"/>
    <w:p w14:paraId="4FF87212" w14:textId="77777777" w:rsidR="004327CA" w:rsidRDefault="004327CA">
      <w:pPr>
        <w:rPr>
          <w:b/>
        </w:rPr>
      </w:pPr>
    </w:p>
    <w:p w14:paraId="02179FB7" w14:textId="2F10C611" w:rsidR="007038D1" w:rsidRPr="005C3B11" w:rsidRDefault="007C1291">
      <w:pPr>
        <w:rPr>
          <w:b/>
        </w:rPr>
      </w:pPr>
      <w:r w:rsidRPr="005C3B11">
        <w:rPr>
          <w:b/>
        </w:rPr>
        <w:t>II</w:t>
      </w:r>
      <w:r w:rsidR="007038D1" w:rsidRPr="005C3B11">
        <w:rPr>
          <w:b/>
        </w:rPr>
        <w:t xml:space="preserve">. The </w:t>
      </w:r>
      <w:r w:rsidR="00794539">
        <w:rPr>
          <w:b/>
        </w:rPr>
        <w:t>Blog</w:t>
      </w:r>
      <w:r w:rsidR="007038D1" w:rsidRPr="005C3B11">
        <w:rPr>
          <w:b/>
        </w:rPr>
        <w:t xml:space="preserve"> – </w:t>
      </w:r>
      <w:r w:rsidR="00D258BF">
        <w:rPr>
          <w:b/>
        </w:rPr>
        <w:t>‘</w:t>
      </w:r>
      <w:r w:rsidR="007038D1" w:rsidRPr="005C3B11">
        <w:rPr>
          <w:b/>
        </w:rPr>
        <w:t>GMOs Cause Autism</w:t>
      </w:r>
      <w:r w:rsidR="00D258BF">
        <w:rPr>
          <w:b/>
        </w:rPr>
        <w:t>’</w:t>
      </w:r>
    </w:p>
    <w:p w14:paraId="5F56E68D" w14:textId="77777777" w:rsidR="007038D1" w:rsidRDefault="007038D1"/>
    <w:p w14:paraId="44F93922" w14:textId="182400FC" w:rsidR="00D258BF" w:rsidRDefault="007038D1" w:rsidP="009D4E82">
      <w:pPr>
        <w:rPr>
          <w:i/>
        </w:rPr>
      </w:pPr>
      <w:r w:rsidRPr="005C3B11">
        <w:rPr>
          <w:i/>
        </w:rPr>
        <w:t xml:space="preserve">A. </w:t>
      </w:r>
      <w:r w:rsidR="008363F6">
        <w:rPr>
          <w:i/>
        </w:rPr>
        <w:t>Claims of the Blog</w:t>
      </w:r>
    </w:p>
    <w:p w14:paraId="38468D80" w14:textId="77777777" w:rsidR="00D258BF" w:rsidRDefault="00D258BF" w:rsidP="009D4E82"/>
    <w:p w14:paraId="219A91FE" w14:textId="23FB474C" w:rsidR="009D4E82" w:rsidRDefault="00D258BF" w:rsidP="009D4E82">
      <w:r>
        <w:t xml:space="preserve">The initial claim that GMOs cause autism begins innocuously enough, from </w:t>
      </w:r>
      <w:r w:rsidR="00AC0E18">
        <w:t>a Korean-language</w:t>
      </w:r>
      <w:r w:rsidR="00D97C93">
        <w:rPr>
          <w:rStyle w:val="FootnoteReference"/>
        </w:rPr>
        <w:footnoteReference w:id="85"/>
      </w:r>
      <w:r w:rsidR="00D97C93">
        <w:t xml:space="preserve"> </w:t>
      </w:r>
      <w:r w:rsidR="00AC0E18">
        <w:t>publication</w:t>
      </w:r>
      <w:r w:rsidR="009D4E82">
        <w:t xml:space="preserve"> on a website called Brunch.</w:t>
      </w:r>
      <w:r w:rsidR="00D97C93">
        <w:rPr>
          <w:rStyle w:val="FootnoteReference"/>
        </w:rPr>
        <w:footnoteReference w:id="86"/>
      </w:r>
      <w:r w:rsidR="009D4E82">
        <w:t xml:space="preserve"> Brunch is an online platform</w:t>
      </w:r>
      <w:r w:rsidR="00D97C93">
        <w:t xml:space="preserve"> </w:t>
      </w:r>
      <w:r w:rsidR="009D4E82">
        <w:t>whose purpose is to “help nonprofessional writers go online to share their stories.”</w:t>
      </w:r>
      <w:bookmarkStart w:id="16" w:name="_Ref535242865"/>
      <w:r w:rsidR="009D4E82">
        <w:rPr>
          <w:rStyle w:val="FootnoteReference"/>
        </w:rPr>
        <w:footnoteReference w:id="87"/>
      </w:r>
      <w:bookmarkEnd w:id="16"/>
      <w:r w:rsidR="009D4E82">
        <w:t xml:space="preserve"> Brunch published a </w:t>
      </w:r>
      <w:r w:rsidR="006319BA">
        <w:t>work</w:t>
      </w:r>
      <w:r w:rsidR="009D4E82">
        <w:t xml:space="preserve"> titled “Genetically </w:t>
      </w:r>
      <w:r w:rsidR="009D4E82">
        <w:lastRenderedPageBreak/>
        <w:t>Modified Food Causes Autism” (</w:t>
      </w:r>
      <w:r w:rsidR="00794539">
        <w:t>Blog</w:t>
      </w:r>
      <w:r w:rsidR="009D4E82">
        <w:t>)</w:t>
      </w:r>
      <w:r w:rsidR="00AC0E18" w:rsidRPr="00AC0E18">
        <w:rPr>
          <w:rStyle w:val="FootnoteReference"/>
        </w:rPr>
        <w:t xml:space="preserve"> </w:t>
      </w:r>
      <w:r w:rsidR="00AC0E18">
        <w:rPr>
          <w:rStyle w:val="FootnoteReference"/>
        </w:rPr>
        <w:footnoteReference w:id="88"/>
      </w:r>
      <w:r w:rsidR="009D4E82">
        <w:t xml:space="preserve"> under the heading of “A Guide for Autism Primers.”</w:t>
      </w:r>
      <w:bookmarkStart w:id="17" w:name="_Ref535242397"/>
      <w:r w:rsidR="009D4E82">
        <w:rPr>
          <w:rStyle w:val="FootnoteReference"/>
        </w:rPr>
        <w:footnoteReference w:id="89"/>
      </w:r>
      <w:bookmarkEnd w:id="17"/>
      <w:r w:rsidR="009D4E82">
        <w:t xml:space="preserve"> The author of the </w:t>
      </w:r>
      <w:r w:rsidR="008363F6">
        <w:t>Blog</w:t>
      </w:r>
      <w:r w:rsidR="009D4E82">
        <w:t xml:space="preserve"> is a self-described software developer who writes about autism as “a side job.”</w:t>
      </w:r>
      <w:r w:rsidR="009D4E82">
        <w:rPr>
          <w:rStyle w:val="FootnoteReference"/>
        </w:rPr>
        <w:footnoteReference w:id="90"/>
      </w:r>
      <w:r w:rsidR="009D4E82">
        <w:t xml:space="preserve"> The </w:t>
      </w:r>
      <w:r w:rsidR="008363F6">
        <w:t>Blog</w:t>
      </w:r>
      <w:r w:rsidR="009D4E82">
        <w:t xml:space="preserve"> </w:t>
      </w:r>
      <w:r w:rsidR="006319BA">
        <w:t>notes</w:t>
      </w:r>
      <w:r w:rsidR="009D4E82">
        <w:t xml:space="preserve"> the significant increase in GMO consumption and </w:t>
      </w:r>
      <w:r w:rsidR="006319BA">
        <w:t>cites</w:t>
      </w:r>
      <w:r w:rsidR="009D4E82">
        <w:t xml:space="preserve"> the oft-quoted </w:t>
      </w:r>
      <w:r w:rsidR="006319BA">
        <w:t>statistic</w:t>
      </w:r>
      <w:r w:rsidR="009D4E82">
        <w:t xml:space="preserve"> that one in sixty-eight children is diagnosed with autism.</w:t>
      </w:r>
      <w:r w:rsidR="009D4E82">
        <w:rPr>
          <w:rStyle w:val="FootnoteReference"/>
        </w:rPr>
        <w:footnoteReference w:id="91"/>
      </w:r>
      <w:r w:rsidR="009D4E82">
        <w:t xml:space="preserve"> The </w:t>
      </w:r>
      <w:r w:rsidR="008363F6">
        <w:t>Blog</w:t>
      </w:r>
      <w:r w:rsidR="009D4E82">
        <w:t xml:space="preserve"> states that while the EU has taken policy action against GMO consumption, the US government has not </w:t>
      </w:r>
      <w:r w:rsidR="0020441F">
        <w:t xml:space="preserve">yet </w:t>
      </w:r>
      <w:r w:rsidR="009D4E82">
        <w:t>implemented restrictions or labeling requirements.</w:t>
      </w:r>
      <w:r w:rsidR="009D4E82">
        <w:rPr>
          <w:rStyle w:val="FootnoteReference"/>
        </w:rPr>
        <w:footnoteReference w:id="92"/>
      </w:r>
      <w:r w:rsidR="009D4E82">
        <w:t xml:space="preserve"> While many studies focus on genetic causes, the </w:t>
      </w:r>
      <w:r w:rsidR="008363F6">
        <w:t>Blog</w:t>
      </w:r>
      <w:r w:rsidR="009D4E82">
        <w:t xml:space="preserve"> notes, there needs to be a greater focus on </w:t>
      </w:r>
      <w:r w:rsidR="008363F6">
        <w:t>“</w:t>
      </w:r>
      <w:r w:rsidR="009D4E82">
        <w:t>dynamic environmental factors.</w:t>
      </w:r>
      <w:r w:rsidR="008363F6">
        <w:t>”</w:t>
      </w:r>
      <w:r w:rsidR="009D4E82">
        <w:rPr>
          <w:rStyle w:val="FootnoteReference"/>
        </w:rPr>
        <w:footnoteReference w:id="93"/>
      </w:r>
    </w:p>
    <w:p w14:paraId="4660FE9D" w14:textId="77777777" w:rsidR="009D4E82" w:rsidRDefault="009D4E82" w:rsidP="009D4E82"/>
    <w:p w14:paraId="121498B7" w14:textId="7F1CCAE6" w:rsidR="009D4E82" w:rsidRDefault="009D4E82" w:rsidP="009D4E82">
      <w:r>
        <w:t>The author states without citation that several studies already exist linking food intake and autism.</w:t>
      </w:r>
      <w:r>
        <w:rPr>
          <w:rStyle w:val="FootnoteReference"/>
        </w:rPr>
        <w:footnoteReference w:id="94"/>
      </w:r>
      <w:r>
        <w:t xml:space="preserve"> Soybeans, milk, and starch, are the leading foods that impact autism, but </w:t>
      </w:r>
      <w:r w:rsidR="00F1211E">
        <w:t xml:space="preserve">the author </w:t>
      </w:r>
      <w:r w:rsidR="00A55612">
        <w:t>concludes</w:t>
      </w:r>
      <w:r w:rsidR="00F1211E">
        <w:t xml:space="preserve"> that </w:t>
      </w:r>
      <w:r>
        <w:t>it is difficult to yet conclude that a relationship exists.</w:t>
      </w:r>
      <w:r>
        <w:rPr>
          <w:rStyle w:val="FootnoteReference"/>
        </w:rPr>
        <w:footnoteReference w:id="95"/>
      </w:r>
      <w:r>
        <w:t xml:space="preserve"> The </w:t>
      </w:r>
      <w:r w:rsidR="008363F6">
        <w:t>Blog</w:t>
      </w:r>
      <w:r>
        <w:t xml:space="preserve"> points out that starch and soybeans are heavily populated with GMOs.</w:t>
      </w:r>
      <w:r>
        <w:rPr>
          <w:rStyle w:val="FootnoteReference"/>
        </w:rPr>
        <w:footnoteReference w:id="96"/>
      </w:r>
      <w:r>
        <w:t xml:space="preserve"> In contrast, GMO tomatoes, potatoes, salmon and pigs have all been discontinued or banned in some jurisdiction, so “it seems safe to eat [them] . . . without worrying yet.”</w:t>
      </w:r>
      <w:r>
        <w:rPr>
          <w:rStyle w:val="FootnoteReference"/>
        </w:rPr>
        <w:footnoteReference w:id="97"/>
      </w:r>
      <w:r>
        <w:t xml:space="preserve"> </w:t>
      </w:r>
      <w:r w:rsidR="00D258BF">
        <w:t>The Blog concludes that, g</w:t>
      </w:r>
      <w:r>
        <w:t>iven that GMOs are so prevalent, and the incidences of autism continue to rise, the US government should require labeling or prohibit GMO use completely to lower the risk of autism in children.</w:t>
      </w:r>
      <w:r>
        <w:rPr>
          <w:rStyle w:val="FootnoteReference"/>
        </w:rPr>
        <w:footnoteReference w:id="98"/>
      </w:r>
    </w:p>
    <w:p w14:paraId="0B8136AC" w14:textId="77777777" w:rsidR="009D4E82" w:rsidRPr="009D4E82" w:rsidRDefault="009D4E82" w:rsidP="007038D1">
      <w:pPr>
        <w:rPr>
          <w:b/>
        </w:rPr>
      </w:pPr>
    </w:p>
    <w:p w14:paraId="0473C883" w14:textId="3A4FB62C" w:rsidR="00D258BF" w:rsidRDefault="002919C4" w:rsidP="007038D1">
      <w:pPr>
        <w:rPr>
          <w:i/>
        </w:rPr>
      </w:pPr>
      <w:r w:rsidRPr="006E7A38">
        <w:rPr>
          <w:i/>
        </w:rPr>
        <w:t>B</w:t>
      </w:r>
      <w:r w:rsidR="007038D1" w:rsidRPr="006E7A38">
        <w:rPr>
          <w:i/>
        </w:rPr>
        <w:t xml:space="preserve">. </w:t>
      </w:r>
      <w:r w:rsidR="00D258BF">
        <w:rPr>
          <w:i/>
        </w:rPr>
        <w:t>Does the Blog Potentially Miscommunicate Science?</w:t>
      </w:r>
    </w:p>
    <w:p w14:paraId="74DC7CC2" w14:textId="77777777" w:rsidR="00D258BF" w:rsidRDefault="00D258BF" w:rsidP="007038D1">
      <w:pPr>
        <w:rPr>
          <w:i/>
        </w:rPr>
      </w:pPr>
    </w:p>
    <w:p w14:paraId="16EC810E" w14:textId="6285B3B3" w:rsidR="000823B9" w:rsidRDefault="005D1458" w:rsidP="000823B9">
      <w:r>
        <w:lastRenderedPageBreak/>
        <w:t>The Bl</w:t>
      </w:r>
      <w:r w:rsidR="008363F6">
        <w:t>og</w:t>
      </w:r>
      <w:r w:rsidR="004D5F6E">
        <w:t xml:space="preserve"> is short</w:t>
      </w:r>
      <w:r w:rsidR="008363F6">
        <w:t xml:space="preserve">, containing </w:t>
      </w:r>
      <w:r w:rsidR="004D5F6E">
        <w:t>only seven paragraph</w:t>
      </w:r>
      <w:r w:rsidR="008363F6">
        <w:t>s, and is written by a self-described software developer with no apparent scientific training</w:t>
      </w:r>
      <w:r w:rsidR="003B7986">
        <w:rPr>
          <w:rStyle w:val="FootnoteReference"/>
        </w:rPr>
        <w:footnoteReference w:id="99"/>
      </w:r>
      <w:r w:rsidR="003B7986">
        <w:t xml:space="preserve"> </w:t>
      </w:r>
      <w:r w:rsidR="008363F6">
        <w:t>and no agenda other than personal curiosity</w:t>
      </w:r>
      <w:r w:rsidR="000823B9">
        <w:t>.</w:t>
      </w:r>
      <w:r w:rsidR="001C732B">
        <w:rPr>
          <w:rStyle w:val="FootnoteReference"/>
        </w:rPr>
        <w:footnoteReference w:id="100"/>
      </w:r>
      <w:r w:rsidR="004C137E">
        <w:t xml:space="preserve"> </w:t>
      </w:r>
      <w:r w:rsidR="008363F6">
        <w:t xml:space="preserve">The Blog </w:t>
      </w:r>
      <w:r w:rsidR="00002853">
        <w:t xml:space="preserve">has at least three common vulnerabilities that make it vulnerable to scientific distortion. First, the Blog </w:t>
      </w:r>
      <w:r w:rsidR="00530756">
        <w:t>has few</w:t>
      </w:r>
      <w:r w:rsidR="00002853">
        <w:t xml:space="preserve"> sources. </w:t>
      </w:r>
      <w:r w:rsidR="00143FD9">
        <w:t xml:space="preserve">A blogger </w:t>
      </w:r>
      <w:r w:rsidR="00A57D47">
        <w:t>cannot</w:t>
      </w:r>
      <w:r w:rsidR="00143FD9">
        <w:t xml:space="preserve"> be reasonably expected to conduct a thorough literature review. However, </w:t>
      </w:r>
      <w:r w:rsidR="000823B9">
        <w:t xml:space="preserve">the author could have integrated </w:t>
      </w:r>
      <w:r w:rsidR="00002853">
        <w:t>some of the numerous res</w:t>
      </w:r>
      <w:r w:rsidR="00F54514">
        <w:t>ources</w:t>
      </w:r>
      <w:r w:rsidR="000823B9">
        <w:t xml:space="preserve"> available </w:t>
      </w:r>
      <w:r w:rsidR="00F54514">
        <w:t>flatly</w:t>
      </w:r>
      <w:r w:rsidR="000823B9">
        <w:t xml:space="preserve"> </w:t>
      </w:r>
      <w:r w:rsidR="00F54514">
        <w:t xml:space="preserve">denying </w:t>
      </w:r>
      <w:r w:rsidR="000823B9">
        <w:t>the GMO-autism connection.</w:t>
      </w:r>
      <w:r w:rsidR="000823B9">
        <w:rPr>
          <w:rStyle w:val="FootnoteReference"/>
        </w:rPr>
        <w:footnoteReference w:id="101"/>
      </w:r>
      <w:r w:rsidR="000823B9">
        <w:t xml:space="preserve"> </w:t>
      </w:r>
      <w:r w:rsidR="00967969">
        <w:t xml:space="preserve">The title of the Blog is similarly problematic. </w:t>
      </w:r>
      <w:r w:rsidR="000823B9">
        <w:t>Readers not bothering to reach the end of the article to read</w:t>
      </w:r>
      <w:r w:rsidR="00A57D47">
        <w:t>,</w:t>
      </w:r>
      <w:r w:rsidR="000823B9">
        <w:t xml:space="preserve"> let alone evaluate</w:t>
      </w:r>
      <w:r w:rsidR="00A57D47">
        <w:t>,</w:t>
      </w:r>
      <w:r w:rsidR="000823B9">
        <w:t xml:space="preserve"> the quality of </w:t>
      </w:r>
      <w:r w:rsidR="00967969">
        <w:t>the article m</w:t>
      </w:r>
      <w:r w:rsidR="000823B9">
        <w:t>ay accept the author’s c</w:t>
      </w:r>
      <w:r w:rsidR="00A57D47">
        <w:t xml:space="preserve">onclusion </w:t>
      </w:r>
      <w:r w:rsidR="00967969">
        <w:t xml:space="preserve">that GMOs cause autism </w:t>
      </w:r>
      <w:r w:rsidR="00A57D47">
        <w:t>as fact.</w:t>
      </w:r>
      <w:bookmarkStart w:id="18" w:name="_Ref535501003"/>
      <w:r w:rsidR="008F5DF6">
        <w:rPr>
          <w:rStyle w:val="FootnoteReference"/>
        </w:rPr>
        <w:footnoteReference w:id="102"/>
      </w:r>
      <w:bookmarkEnd w:id="18"/>
      <w:r w:rsidR="00673471">
        <w:t xml:space="preserve"> </w:t>
      </w:r>
    </w:p>
    <w:p w14:paraId="20087FDC" w14:textId="77777777" w:rsidR="005D1458" w:rsidRDefault="005D1458" w:rsidP="000823B9"/>
    <w:p w14:paraId="7B8DD611" w14:textId="58B97D13" w:rsidR="000823B9" w:rsidRDefault="00967969" w:rsidP="000823B9">
      <w:r>
        <w:t xml:space="preserve">Second, the blog misinterprets </w:t>
      </w:r>
      <w:r w:rsidR="000823B9">
        <w:t xml:space="preserve">basic scientific </w:t>
      </w:r>
      <w:r>
        <w:t>principles</w:t>
      </w:r>
      <w:r w:rsidR="000823B9">
        <w:t xml:space="preserve">. The </w:t>
      </w:r>
      <w:r w:rsidR="008363F6">
        <w:t>Blog</w:t>
      </w:r>
      <w:r w:rsidR="000823B9">
        <w:t xml:space="preserve"> </w:t>
      </w:r>
      <w:r>
        <w:t>associates</w:t>
      </w:r>
      <w:r w:rsidR="000823B9">
        <w:t xml:space="preserve"> the dramatic in</w:t>
      </w:r>
      <w:r w:rsidR="00D57E7E">
        <w:t xml:space="preserve">crease in autism diagnoses </w:t>
      </w:r>
      <w:r>
        <w:t>with a</w:t>
      </w:r>
      <w:r w:rsidR="000823B9">
        <w:t xml:space="preserve"> concurrent inc</w:t>
      </w:r>
      <w:r w:rsidR="00D57E7E">
        <w:t>rease in GMO consumption.</w:t>
      </w:r>
      <w:r w:rsidR="00990555">
        <w:rPr>
          <w:rStyle w:val="FootnoteReference"/>
        </w:rPr>
        <w:footnoteReference w:id="103"/>
      </w:r>
      <w:r w:rsidR="00D57E7E">
        <w:t xml:space="preserve"> T</w:t>
      </w:r>
      <w:r w:rsidR="000823B9">
        <w:t xml:space="preserve">he implication </w:t>
      </w:r>
      <w:r w:rsidR="00773B64">
        <w:t xml:space="preserve">is </w:t>
      </w:r>
      <w:r w:rsidR="000823B9">
        <w:t>that the two are somehow related. Th</w:t>
      </w:r>
      <w:r w:rsidR="00773B64">
        <w:t>is is the classic correlation-</w:t>
      </w:r>
      <w:r w:rsidR="000823B9">
        <w:t xml:space="preserve">causation </w:t>
      </w:r>
      <w:r w:rsidR="00773B64">
        <w:t>fallacy</w:t>
      </w:r>
      <w:r>
        <w:t>,</w:t>
      </w:r>
      <w:bookmarkStart w:id="19" w:name="_Ref535242844"/>
      <w:r w:rsidR="000823B9">
        <w:rPr>
          <w:rStyle w:val="FootnoteReference"/>
        </w:rPr>
        <w:footnoteReference w:id="104"/>
      </w:r>
      <w:bookmarkEnd w:id="19"/>
      <w:r w:rsidR="000823B9">
        <w:t xml:space="preserve"> </w:t>
      </w:r>
      <w:r>
        <w:t>one of the most widely-shared scientific misconceptions among the public at large.</w:t>
      </w:r>
      <w:bookmarkStart w:id="20" w:name="_Ref535242824"/>
      <w:r>
        <w:rPr>
          <w:rStyle w:val="FootnoteReference"/>
        </w:rPr>
        <w:footnoteReference w:id="105"/>
      </w:r>
      <w:bookmarkEnd w:id="20"/>
      <w:r w:rsidR="005D1458">
        <w:t xml:space="preserve"> </w:t>
      </w:r>
      <w:r w:rsidR="000823B9">
        <w:t xml:space="preserve">Correlation measures the size and the </w:t>
      </w:r>
      <w:r w:rsidR="000823B9">
        <w:lastRenderedPageBreak/>
        <w:t>relationship direction between two or more variables.</w:t>
      </w:r>
      <w:r w:rsidR="000823B9">
        <w:rPr>
          <w:rStyle w:val="FootnoteReference"/>
        </w:rPr>
        <w:footnoteReference w:id="106"/>
      </w:r>
      <w:r w:rsidR="000823B9">
        <w:t xml:space="preserve"> Causation implies that a causal relationship exists between two events – one events causes another.</w:t>
      </w:r>
      <w:r w:rsidR="000823B9">
        <w:rPr>
          <w:rStyle w:val="FootnoteReference"/>
        </w:rPr>
        <w:footnoteReference w:id="107"/>
      </w:r>
      <w:r w:rsidR="000823B9">
        <w:t xml:space="preserve"> For example, parenting style may be correlated with the behavioral outcomes of children, but that does not necessarily mean that parenting style causes children’s behavior</w:t>
      </w:r>
      <w:r w:rsidR="005D1458">
        <w:t xml:space="preserve"> to vary</w:t>
      </w:r>
      <w:r w:rsidR="000823B9">
        <w:t>.</w:t>
      </w:r>
      <w:r w:rsidR="000823B9">
        <w:rPr>
          <w:rStyle w:val="FootnoteReference"/>
        </w:rPr>
        <w:footnoteReference w:id="108"/>
      </w:r>
      <w:r w:rsidR="000823B9">
        <w:t xml:space="preserve"> Strong correlations have been found between iPhone sales and deaths from falling down stairs, the U.S. per capita consumption of margarine and the divorce rate in Maine, and other </w:t>
      </w:r>
      <w:r w:rsidR="00575F4B">
        <w:t>unusual</w:t>
      </w:r>
      <w:r w:rsidR="000823B9">
        <w:t xml:space="preserve"> examples.</w:t>
      </w:r>
      <w:r w:rsidR="000823B9">
        <w:rPr>
          <w:rStyle w:val="FootnoteReference"/>
        </w:rPr>
        <w:footnoteReference w:id="109"/>
      </w:r>
      <w:r w:rsidR="000823B9">
        <w:t xml:space="preserve"> Most correlations are non-causal in nature,</w:t>
      </w:r>
      <w:bookmarkStart w:id="21" w:name="_Ref535244005"/>
      <w:r w:rsidR="000823B9">
        <w:rPr>
          <w:rStyle w:val="FootnoteReference"/>
        </w:rPr>
        <w:footnoteReference w:id="110"/>
      </w:r>
      <w:bookmarkEnd w:id="21"/>
      <w:r w:rsidR="000823B9">
        <w:t xml:space="preserve"> and notwithstanding of the </w:t>
      </w:r>
      <w:r w:rsidR="008363F6">
        <w:t>Blog</w:t>
      </w:r>
      <w:r w:rsidR="000823B9">
        <w:t xml:space="preserve">’s unequivocal title, the </w:t>
      </w:r>
      <w:r w:rsidR="005D1458">
        <w:t>concurrent</w:t>
      </w:r>
      <w:r w:rsidR="000823B9">
        <w:t xml:space="preserve"> rise between GMOs and autism does not support a causative connection.</w:t>
      </w:r>
    </w:p>
    <w:p w14:paraId="7305A3A3" w14:textId="5D6B47AB" w:rsidR="000823B9" w:rsidRDefault="000823B9" w:rsidP="000823B9">
      <w:pPr>
        <w:tabs>
          <w:tab w:val="left" w:pos="3274"/>
        </w:tabs>
      </w:pPr>
    </w:p>
    <w:p w14:paraId="5934277E" w14:textId="3E468949" w:rsidR="00B27C2E" w:rsidRDefault="005D1458" w:rsidP="00F10BF4">
      <w:pPr>
        <w:tabs>
          <w:tab w:val="left" w:pos="3274"/>
        </w:tabs>
      </w:pPr>
      <w:r>
        <w:t xml:space="preserve">Third, the Blog’s publisher tacitly </w:t>
      </w:r>
      <w:r w:rsidR="00A13F6D">
        <w:t>encourages</w:t>
      </w:r>
      <w:r>
        <w:t xml:space="preserve"> consumption of uncritical information. </w:t>
      </w:r>
      <w:r w:rsidR="00F10BF4">
        <w:t>Brunch does not appear to filter contributed content,</w:t>
      </w:r>
      <w:r w:rsidR="00F10BF4">
        <w:rPr>
          <w:rStyle w:val="FootnoteReference"/>
        </w:rPr>
        <w:footnoteReference w:id="111"/>
      </w:r>
      <w:r w:rsidR="00F10BF4">
        <w:t xml:space="preserve"> </w:t>
      </w:r>
      <w:r w:rsidR="00A13F6D">
        <w:t xml:space="preserve">and </w:t>
      </w:r>
      <w:r w:rsidR="00F10BF4">
        <w:t>it positions itself in the style of a magazine treating fiction and non-fiction content equally.</w:t>
      </w:r>
      <w:r w:rsidR="00F10BF4">
        <w:rPr>
          <w:rStyle w:val="FootnoteReference"/>
        </w:rPr>
        <w:footnoteReference w:id="112"/>
      </w:r>
      <w:r w:rsidR="00F10BF4">
        <w:t xml:space="preserve"> </w:t>
      </w:r>
      <w:r w:rsidR="00C0309B">
        <w:t xml:space="preserve">The site </w:t>
      </w:r>
      <w:r w:rsidR="001B6BDB">
        <w:t>appears</w:t>
      </w:r>
      <w:r w:rsidR="00C0309B">
        <w:t xml:space="preserve"> </w:t>
      </w:r>
      <w:r w:rsidR="001B6BDB">
        <w:t>attractive</w:t>
      </w:r>
      <w:r w:rsidR="00C0309B">
        <w:t xml:space="preserve"> and </w:t>
      </w:r>
      <w:r w:rsidR="001B6BDB">
        <w:t>professional</w:t>
      </w:r>
      <w:r w:rsidR="00C0309B">
        <w:t xml:space="preserve">, </w:t>
      </w:r>
      <w:r w:rsidR="00F10BF4">
        <w:t>again reminiscent of online magazines.</w:t>
      </w:r>
      <w:r w:rsidR="00C0309B">
        <w:t xml:space="preserve"> </w:t>
      </w:r>
      <w:r w:rsidR="00B27C2E">
        <w:t>These a</w:t>
      </w:r>
      <w:r w:rsidR="00C0309B">
        <w:t xml:space="preserve">esthetics </w:t>
      </w:r>
      <w:proofErr w:type="gramStart"/>
      <w:r w:rsidR="00C0309B">
        <w:t>matter</w:t>
      </w:r>
      <w:proofErr w:type="gramEnd"/>
      <w:r w:rsidR="00B27C2E">
        <w:t>. Viewers of online content conflate website attractiveness with credibility of content.</w:t>
      </w:r>
      <w:r w:rsidR="00B27C2E">
        <w:rPr>
          <w:rStyle w:val="FootnoteReference"/>
        </w:rPr>
        <w:footnoteReference w:id="113"/>
      </w:r>
      <w:r w:rsidR="00B27C2E">
        <w:t xml:space="preserve"> </w:t>
      </w:r>
      <w:r w:rsidR="00F10BF4">
        <w:t>When an author speak</w:t>
      </w:r>
      <w:r w:rsidR="00AF15FD">
        <w:t>s</w:t>
      </w:r>
      <w:r w:rsidR="00F10BF4">
        <w:t xml:space="preserve"> conclusively (i.e. “GMOs cause Autism”) </w:t>
      </w:r>
      <w:r w:rsidR="00B27C2E">
        <w:t>on a platform that signals legitimacy, it seduces the reader to believe that the author’s dubious conclusions are true.</w:t>
      </w:r>
    </w:p>
    <w:p w14:paraId="35EC700C" w14:textId="77777777" w:rsidR="00F10BF4" w:rsidRDefault="00F10BF4"/>
    <w:p w14:paraId="4A934F01" w14:textId="374358F5" w:rsidR="002919C4" w:rsidRPr="00B27C2E" w:rsidRDefault="002919C4" w:rsidP="002919C4">
      <w:r w:rsidRPr="004400EF">
        <w:rPr>
          <w:i/>
        </w:rPr>
        <w:t xml:space="preserve">C. </w:t>
      </w:r>
      <w:r w:rsidR="00B27C2E">
        <w:rPr>
          <w:i/>
        </w:rPr>
        <w:t xml:space="preserve">Does the </w:t>
      </w:r>
      <w:r w:rsidR="002806B8">
        <w:rPr>
          <w:i/>
        </w:rPr>
        <w:t xml:space="preserve">Blog’s </w:t>
      </w:r>
      <w:r w:rsidR="00B27C2E">
        <w:rPr>
          <w:i/>
        </w:rPr>
        <w:t xml:space="preserve">Source Support </w:t>
      </w:r>
      <w:r w:rsidR="002806B8">
        <w:rPr>
          <w:i/>
        </w:rPr>
        <w:t>its</w:t>
      </w:r>
      <w:r w:rsidR="00B27C2E">
        <w:rPr>
          <w:i/>
        </w:rPr>
        <w:t xml:space="preserve"> Claim?</w:t>
      </w:r>
    </w:p>
    <w:p w14:paraId="104AC09E" w14:textId="330D840C" w:rsidR="002919C4" w:rsidRDefault="002919C4" w:rsidP="002919C4"/>
    <w:p w14:paraId="61C1EAAC" w14:textId="4B751919" w:rsidR="00781E7C" w:rsidRDefault="001B6BDB" w:rsidP="002919C4">
      <w:r>
        <w:t>The Blog relies on a single substantive source to conclude that GMOs cause autism, but the source does not fully support the author’s claim.</w:t>
      </w:r>
      <w:r w:rsidR="00C763B8">
        <w:t xml:space="preserve"> </w:t>
      </w:r>
      <w:r w:rsidR="00221B81">
        <w:t xml:space="preserve">The </w:t>
      </w:r>
      <w:r w:rsidR="008363F6">
        <w:t>Blog</w:t>
      </w:r>
      <w:r w:rsidR="00221B81">
        <w:t>’s conclusion is unequivocal – GMOs cause autism. The source cited for this</w:t>
      </w:r>
      <w:r w:rsidR="00CD210F">
        <w:t xml:space="preserve"> proposition, however, is not. </w:t>
      </w:r>
      <w:r w:rsidR="009B6513">
        <w:t>Instead, the</w:t>
      </w:r>
      <w:r w:rsidR="00221B81">
        <w:t xml:space="preserve"> source</w:t>
      </w:r>
      <w:r w:rsidR="009B6513">
        <w:t xml:space="preserve"> claims </w:t>
      </w:r>
      <w:r w:rsidR="00221B81">
        <w:t xml:space="preserve">that </w:t>
      </w:r>
      <w:r w:rsidR="002919C4">
        <w:t>“</w:t>
      </w:r>
      <w:r w:rsidR="002919C4" w:rsidRPr="00BC4000">
        <w:t>where a genetic risk already exists, the consumption of GMOs may catalyze the risk of autism</w:t>
      </w:r>
      <w:r w:rsidR="002919C4">
        <w:t>.”</w:t>
      </w:r>
      <w:bookmarkStart w:id="22" w:name="_Ref535243078"/>
      <w:r w:rsidR="002919C4">
        <w:rPr>
          <w:rStyle w:val="FootnoteReference"/>
        </w:rPr>
        <w:footnoteReference w:id="114"/>
      </w:r>
      <w:bookmarkEnd w:id="22"/>
      <w:r w:rsidR="002919C4">
        <w:t xml:space="preserve"> The </w:t>
      </w:r>
      <w:r w:rsidR="00221B81">
        <w:t>source also claims</w:t>
      </w:r>
      <w:r w:rsidR="00855698">
        <w:t xml:space="preserve"> that, “[e]</w:t>
      </w:r>
      <w:proofErr w:type="spellStart"/>
      <w:r w:rsidR="002919C4">
        <w:t>xposure</w:t>
      </w:r>
      <w:proofErr w:type="spellEnd"/>
      <w:r w:rsidR="002919C4">
        <w:t xml:space="preserve"> to GMOs is a threat to every individual's health, but for those with a genetic </w:t>
      </w:r>
      <w:r w:rsidR="002919C4">
        <w:lastRenderedPageBreak/>
        <w:t>predisposition for autism (linked to rare genetic mutations) it is important to identify and take action on those factors that are identified as contributing to the environmental influence that can catalyze the genetic risk.”</w:t>
      </w:r>
      <w:r w:rsidR="002919C4">
        <w:rPr>
          <w:rStyle w:val="FootnoteReference"/>
        </w:rPr>
        <w:footnoteReference w:id="115"/>
      </w:r>
      <w:r w:rsidR="002919C4">
        <w:t xml:space="preserve"> </w:t>
      </w:r>
    </w:p>
    <w:p w14:paraId="35DE3093" w14:textId="06456A91" w:rsidR="00781E7C" w:rsidRDefault="00781E7C" w:rsidP="002919C4"/>
    <w:p w14:paraId="3015ECB5" w14:textId="279CD33E" w:rsidR="00781E7C" w:rsidRDefault="00781E7C" w:rsidP="002919C4">
      <w:r>
        <w:t xml:space="preserve">What the </w:t>
      </w:r>
      <w:r w:rsidR="003346E4">
        <w:t>Blog</w:t>
      </w:r>
      <w:r>
        <w:t xml:space="preserve"> presents is the first kind of distortive claim, one based on evidence that is only partially supportive or limited by conditions. </w:t>
      </w:r>
      <w:r w:rsidR="003346E4">
        <w:t xml:space="preserve">If A causes B, but only if C condition is present, then it is not </w:t>
      </w:r>
      <w:r w:rsidR="004040EA">
        <w:t>appropriate</w:t>
      </w:r>
      <w:r w:rsidR="003346E4">
        <w:t xml:space="preserve"> to </w:t>
      </w:r>
      <w:r w:rsidR="004040EA">
        <w:t>assert</w:t>
      </w:r>
      <w:r w:rsidR="003346E4">
        <w:t xml:space="preserve"> that A causes B</w:t>
      </w:r>
      <w:r w:rsidR="004040EA">
        <w:t xml:space="preserve"> unconditionally</w:t>
      </w:r>
      <w:r w:rsidR="003346E4">
        <w:t>. The problem for the dissemination of scientific knowledge</w:t>
      </w:r>
      <w:r w:rsidR="004040EA">
        <w:t xml:space="preserve"> </w:t>
      </w:r>
      <w:r w:rsidR="003346E4">
        <w:t xml:space="preserve">is that a reader of the Blog is unaware </w:t>
      </w:r>
      <w:r w:rsidR="004040EA">
        <w:t>that</w:t>
      </w:r>
      <w:r w:rsidR="003346E4">
        <w:t xml:space="preserve"> condition C is </w:t>
      </w:r>
      <w:r w:rsidR="005D1B56">
        <w:t>relevant</w:t>
      </w:r>
      <w:r w:rsidR="003346E4">
        <w:t xml:space="preserve">. </w:t>
      </w:r>
      <w:r w:rsidR="008A3F29">
        <w:t xml:space="preserve">Like in the game of telephone, knowledge necessary to retain the statement’s accuracy is lost. The consumer reads the Blog, believes the conclusion, and </w:t>
      </w:r>
      <w:r w:rsidR="00046FF3">
        <w:t>goes on</w:t>
      </w:r>
      <w:r w:rsidR="008A3F29">
        <w:t xml:space="preserve"> to republish the </w:t>
      </w:r>
      <w:r w:rsidR="00046FF3">
        <w:t>idea</w:t>
      </w:r>
      <w:r w:rsidR="008A3F29">
        <w:t xml:space="preserve"> in social media or through informal social networks.</w:t>
      </w:r>
      <w:r w:rsidR="00046FF3">
        <w:t xml:space="preserve"> The interferential leap cements from speculation to truth, and from there becomes conventional wisdom</w:t>
      </w:r>
      <w:r w:rsidR="00A23CEA">
        <w:t xml:space="preserve"> that is readily leverageable into support for public policy. </w:t>
      </w:r>
    </w:p>
    <w:p w14:paraId="3561B493" w14:textId="77777777" w:rsidR="008A3F29" w:rsidRDefault="008A3F29" w:rsidP="002919C4"/>
    <w:p w14:paraId="0DF6C4EE" w14:textId="6FC6FD0A" w:rsidR="004040EA" w:rsidRDefault="00A94E07">
      <w:r>
        <w:t xml:space="preserve">The next Part of this article </w:t>
      </w:r>
      <w:r w:rsidR="004040EA">
        <w:t xml:space="preserve">will now explore the Blog’s source, a brief law review </w:t>
      </w:r>
      <w:r w:rsidR="008957BD">
        <w:t xml:space="preserve">publication </w:t>
      </w:r>
      <w:r w:rsidR="004040EA">
        <w:t>on the subject of GMOs and autism.</w:t>
      </w:r>
      <w:r w:rsidR="004040EA">
        <w:rPr>
          <w:rStyle w:val="FootnoteReference"/>
        </w:rPr>
        <w:footnoteReference w:id="116"/>
      </w:r>
      <w:r w:rsidR="008957BD">
        <w:t xml:space="preserve"> Th</w:t>
      </w:r>
      <w:r w:rsidR="00576B8C">
        <w:t>e</w:t>
      </w:r>
      <w:r w:rsidR="008957BD">
        <w:t xml:space="preserve"> next Part will evaluate the publication in a similar fashion as the Blog: reviewing the work, evaluating the potential for distortion of science, and then assessing whether the source cited supports the publication’s underlying argument.</w:t>
      </w:r>
    </w:p>
    <w:p w14:paraId="4D1F7B52" w14:textId="4A7CCC32" w:rsidR="00D84E82" w:rsidRDefault="00D84E82"/>
    <w:p w14:paraId="30B27EF2" w14:textId="77777777" w:rsidR="00576B8C" w:rsidRDefault="00576B8C"/>
    <w:p w14:paraId="3CBF16FF" w14:textId="1BDF676D" w:rsidR="007038D1" w:rsidRPr="0064661E" w:rsidRDefault="00576B8C" w:rsidP="007038D1">
      <w:pPr>
        <w:rPr>
          <w:b/>
        </w:rPr>
      </w:pPr>
      <w:r>
        <w:rPr>
          <w:b/>
        </w:rPr>
        <w:t>I</w:t>
      </w:r>
      <w:r w:rsidR="007C1291" w:rsidRPr="0064661E">
        <w:rPr>
          <w:b/>
        </w:rPr>
        <w:t>I</w:t>
      </w:r>
      <w:r w:rsidR="007038D1" w:rsidRPr="0064661E">
        <w:rPr>
          <w:b/>
        </w:rPr>
        <w:t xml:space="preserve">I. The Law Journal Feature – </w:t>
      </w:r>
      <w:r w:rsidR="00D258BF">
        <w:rPr>
          <w:b/>
        </w:rPr>
        <w:t>‘</w:t>
      </w:r>
      <w:r w:rsidR="007038D1" w:rsidRPr="0064661E">
        <w:rPr>
          <w:b/>
        </w:rPr>
        <w:t>GMOs May Catalyze the Risk of Autism Where a Genetic Risk Already Exists</w:t>
      </w:r>
      <w:r w:rsidR="00D258BF">
        <w:rPr>
          <w:b/>
        </w:rPr>
        <w:t>’</w:t>
      </w:r>
    </w:p>
    <w:p w14:paraId="09E210A7" w14:textId="77777777" w:rsidR="007038D1" w:rsidRDefault="007038D1" w:rsidP="007038D1"/>
    <w:p w14:paraId="40A58C3E" w14:textId="3C95042D" w:rsidR="00225342" w:rsidRPr="0064661E" w:rsidRDefault="007038D1" w:rsidP="007038D1">
      <w:r w:rsidRPr="0064661E">
        <w:rPr>
          <w:i/>
        </w:rPr>
        <w:t xml:space="preserve">A. </w:t>
      </w:r>
      <w:r w:rsidR="008C3577">
        <w:rPr>
          <w:i/>
        </w:rPr>
        <w:t>Claims of the Feature</w:t>
      </w:r>
    </w:p>
    <w:p w14:paraId="2A01FB7E" w14:textId="77777777" w:rsidR="00225342" w:rsidRDefault="00225342" w:rsidP="007038D1"/>
    <w:p w14:paraId="74BEC81C" w14:textId="5E10614F" w:rsidR="00206667" w:rsidRDefault="00225342" w:rsidP="00206667">
      <w:r>
        <w:t xml:space="preserve">Approximately two years before publication of the </w:t>
      </w:r>
      <w:r w:rsidR="008363F6">
        <w:t>Blog</w:t>
      </w:r>
      <w:r>
        <w:t xml:space="preserve">, the journal </w:t>
      </w:r>
      <w:r>
        <w:rPr>
          <w:i/>
        </w:rPr>
        <w:t>Sustainable Development Law &amp; Policy</w:t>
      </w:r>
      <w:r>
        <w:t xml:space="preserve"> published, “</w:t>
      </w:r>
      <w:r w:rsidRPr="00112B4F">
        <w:rPr>
          <w:i/>
        </w:rPr>
        <w:t>The Health Consequence of Genetically Modified Organisms and Lack of Regulation: Genetically Engineered Food Linked to Rise in Autism Prevalence</w:t>
      </w:r>
      <w:r>
        <w:t>” (Feature).</w:t>
      </w:r>
      <w:r>
        <w:rPr>
          <w:rStyle w:val="FootnoteReference"/>
        </w:rPr>
        <w:footnoteReference w:id="117"/>
      </w:r>
      <w:r>
        <w:t xml:space="preserve"> </w:t>
      </w:r>
      <w:r w:rsidR="00206667">
        <w:t>According to the Feature, the impact on the environment on human health is undeniable.</w:t>
      </w:r>
      <w:r w:rsidR="00206667">
        <w:rPr>
          <w:rStyle w:val="FootnoteReference"/>
        </w:rPr>
        <w:footnoteReference w:id="118"/>
      </w:r>
      <w:r w:rsidR="00206667">
        <w:t xml:space="preserve"> Human health is impacted by chemical exposure of household products and food.</w:t>
      </w:r>
      <w:r w:rsidR="00206667">
        <w:rPr>
          <w:rStyle w:val="FootnoteReference"/>
        </w:rPr>
        <w:footnoteReference w:id="119"/>
      </w:r>
      <w:r w:rsidR="0032613C">
        <w:t xml:space="preserve"> S</w:t>
      </w:r>
      <w:r w:rsidR="00206667">
        <w:t>tudies show that GMOs impair human health by causing toxic effects, illness, and allergic reactions that are similar to those caused harmful household items.</w:t>
      </w:r>
      <w:r w:rsidR="00206667">
        <w:rPr>
          <w:rStyle w:val="FootnoteReference"/>
        </w:rPr>
        <w:footnoteReference w:id="120"/>
      </w:r>
      <w:r w:rsidR="00206667">
        <w:t xml:space="preserve"> These health effects have increased at the same time the US has used GMOs in </w:t>
      </w:r>
      <w:r w:rsidR="007518E1">
        <w:t>most of its</w:t>
      </w:r>
      <w:r w:rsidR="00206667">
        <w:t xml:space="preserve"> food supply.</w:t>
      </w:r>
      <w:r w:rsidR="00206667">
        <w:rPr>
          <w:rStyle w:val="FootnoteReference"/>
        </w:rPr>
        <w:footnoteReference w:id="121"/>
      </w:r>
    </w:p>
    <w:p w14:paraId="08DABEF8" w14:textId="77777777" w:rsidR="00225342" w:rsidRDefault="00225342" w:rsidP="00225342"/>
    <w:p w14:paraId="17B10349" w14:textId="1D68928C" w:rsidR="00225342" w:rsidRDefault="00225342" w:rsidP="00225342">
      <w:r>
        <w:t xml:space="preserve">Further, the </w:t>
      </w:r>
      <w:r w:rsidR="00206667">
        <w:t xml:space="preserve">Feature notes that the </w:t>
      </w:r>
      <w:r>
        <w:t>increase in GMO usage corresponds the fast increase in diagnoses of autism.</w:t>
      </w:r>
      <w:r w:rsidR="00F2325C">
        <w:rPr>
          <w:rStyle w:val="FootnoteReference"/>
        </w:rPr>
        <w:footnoteReference w:id="122"/>
      </w:r>
      <w:r>
        <w:t xml:space="preserve"> The link between the autism diagnosis increase and GMOs “cannot be isolated as one factor but a myriad.”</w:t>
      </w:r>
      <w:r w:rsidR="00F2325C">
        <w:rPr>
          <w:rStyle w:val="FootnoteReference"/>
        </w:rPr>
        <w:footnoteReference w:id="123"/>
      </w:r>
      <w:r>
        <w:t xml:space="preserve"> Because genetics </w:t>
      </w:r>
      <w:r w:rsidR="00F2325C">
        <w:t>do not change rapidly</w:t>
      </w:r>
      <w:r>
        <w:t xml:space="preserve">, the Feature explains, environmental factors </w:t>
      </w:r>
      <w:r>
        <w:lastRenderedPageBreak/>
        <w:t>are worth examining.</w:t>
      </w:r>
      <w:r w:rsidR="00F2325C">
        <w:rPr>
          <w:rStyle w:val="FootnoteReference"/>
        </w:rPr>
        <w:footnoteReference w:id="124"/>
      </w:r>
      <w:r>
        <w:t xml:space="preserve"> A key factor, then, that contributes to increasing autism diagnosis is the correlation between widespread GMO consumption and use and increasing incidences of autism.</w:t>
      </w:r>
      <w:r w:rsidR="00F2325C">
        <w:rPr>
          <w:rStyle w:val="FootnoteReference"/>
        </w:rPr>
        <w:footnoteReference w:id="125"/>
      </w:r>
    </w:p>
    <w:p w14:paraId="35E4641F" w14:textId="77777777" w:rsidR="0032613C" w:rsidRDefault="0032613C" w:rsidP="0032613C"/>
    <w:p w14:paraId="15E1BD26" w14:textId="49CD07C2" w:rsidR="0032613C" w:rsidRDefault="0032613C" w:rsidP="0032613C">
      <w:r>
        <w:t>The Feature also makes policy arguments</w:t>
      </w:r>
      <w:r w:rsidR="00530756">
        <w:t>. R</w:t>
      </w:r>
      <w:r>
        <w:t>eviewing current US law on GMO regulation</w:t>
      </w:r>
      <w:r w:rsidR="00530756">
        <w:t>,</w:t>
      </w:r>
      <w:r>
        <w:t xml:space="preserve"> </w:t>
      </w:r>
      <w:r w:rsidR="00530756">
        <w:t>the author argues</w:t>
      </w:r>
      <w:r>
        <w:t xml:space="preserve"> that the US is bound under the precautionary principle because it has an “overt legal obligation” to address the “known harm” of GMOs.</w:t>
      </w:r>
      <w:r>
        <w:rPr>
          <w:rStyle w:val="FootnoteReference"/>
        </w:rPr>
        <w:footnoteReference w:id="126"/>
      </w:r>
      <w:r>
        <w:t xml:space="preserve"> The Feature concludes that “the United States has a chance to lessen the number of children on a different spectrum; decreasing environmental impact on the genetic risks of autism.”</w:t>
      </w:r>
      <w:r>
        <w:rPr>
          <w:rStyle w:val="FootnoteReference"/>
        </w:rPr>
        <w:footnoteReference w:id="127"/>
      </w:r>
      <w:r>
        <w:t xml:space="preserve"> Noting that European Union has significant regulation of GMOs, the United States by contrast seems to be “doing nothing.”</w:t>
      </w:r>
      <w:r>
        <w:rPr>
          <w:rStyle w:val="FootnoteReference"/>
        </w:rPr>
        <w:footnoteReference w:id="128"/>
      </w:r>
      <w:r>
        <w:t xml:space="preserve"> The US should act, however, because “GMO consumption has now been linked to a rise in the number of autism cases; where a genetic risk already exists, the consumption of GMOs may catalyze the risk of autism.”</w:t>
      </w:r>
      <w:r>
        <w:rPr>
          <w:rStyle w:val="FootnoteReference"/>
        </w:rPr>
        <w:footnoteReference w:id="129"/>
      </w:r>
      <w:r>
        <w:t xml:space="preserve"> The US should therefore require GMO labeling and a “GMO regulatory policy.”</w:t>
      </w:r>
      <w:r>
        <w:rPr>
          <w:rStyle w:val="FootnoteReference"/>
        </w:rPr>
        <w:footnoteReference w:id="130"/>
      </w:r>
    </w:p>
    <w:p w14:paraId="5DCA5324" w14:textId="77777777" w:rsidR="0032613C" w:rsidRDefault="0032613C" w:rsidP="00225342"/>
    <w:p w14:paraId="47BF05D3" w14:textId="66D7BBE4" w:rsidR="007038D1" w:rsidRPr="004400EF" w:rsidRDefault="00CC01C8" w:rsidP="007038D1">
      <w:pPr>
        <w:rPr>
          <w:i/>
        </w:rPr>
      </w:pPr>
      <w:r>
        <w:rPr>
          <w:i/>
        </w:rPr>
        <w:t>B</w:t>
      </w:r>
      <w:r w:rsidR="007038D1" w:rsidRPr="004400EF">
        <w:rPr>
          <w:i/>
        </w:rPr>
        <w:t xml:space="preserve">. </w:t>
      </w:r>
      <w:r w:rsidR="00206667">
        <w:rPr>
          <w:i/>
        </w:rPr>
        <w:t xml:space="preserve">Does the Feature </w:t>
      </w:r>
      <w:r w:rsidR="005D20B7">
        <w:rPr>
          <w:i/>
        </w:rPr>
        <w:t xml:space="preserve">Potentially </w:t>
      </w:r>
      <w:r w:rsidR="00206667">
        <w:rPr>
          <w:i/>
        </w:rPr>
        <w:t>Miscommunicate</w:t>
      </w:r>
      <w:r w:rsidR="00D258BF">
        <w:rPr>
          <w:i/>
        </w:rPr>
        <w:t xml:space="preserve"> Science</w:t>
      </w:r>
      <w:r w:rsidR="00206667">
        <w:rPr>
          <w:i/>
        </w:rPr>
        <w:t>?</w:t>
      </w:r>
    </w:p>
    <w:p w14:paraId="064F3989" w14:textId="77777777" w:rsidR="007038D1" w:rsidRDefault="007038D1"/>
    <w:p w14:paraId="0D1D3101" w14:textId="34F87675" w:rsidR="00D6292B" w:rsidRDefault="00225342" w:rsidP="00225342">
      <w:r>
        <w:t xml:space="preserve">The </w:t>
      </w:r>
      <w:r w:rsidR="00CC2B84">
        <w:t>Feature</w:t>
      </w:r>
      <w:r>
        <w:t xml:space="preserve"> was </w:t>
      </w:r>
      <w:r w:rsidR="00CC01C8">
        <w:t>likely not</w:t>
      </w:r>
      <w:r>
        <w:t xml:space="preserve"> intended to be the final word on the subject</w:t>
      </w:r>
      <w:r w:rsidR="00CC01C8">
        <w:t xml:space="preserve"> of GMOs and autism, but its arguments nonetheless have the potential to misinform.</w:t>
      </w:r>
      <w:r w:rsidR="006A2F45">
        <w:t xml:space="preserve"> </w:t>
      </w:r>
      <w:r w:rsidR="00C30356">
        <w:t>First, scholarly authors must be cautious not to overstate the role or impact of a legal principle. For example, t</w:t>
      </w:r>
      <w:r w:rsidR="006E6D9C">
        <w:t>he</w:t>
      </w:r>
      <w:r w:rsidR="0069333D">
        <w:t xml:space="preserve"> Feature quotes </w:t>
      </w:r>
      <w:r w:rsidR="00147E14">
        <w:t xml:space="preserve">the </w:t>
      </w:r>
      <w:r w:rsidR="006E6D9C">
        <w:t>Rio Declaration on Environment and Development</w:t>
      </w:r>
      <w:r w:rsidR="00C30356">
        <w:t>’s articulation of the precautionary principle</w:t>
      </w:r>
      <w:r w:rsidR="0069333D">
        <w:t xml:space="preserve">, </w:t>
      </w:r>
      <w:r w:rsidR="00C30356">
        <w:t>affirming</w:t>
      </w:r>
      <w:r w:rsidR="0069333D">
        <w:t xml:space="preserve"> that, “[w]here there are threats of serious or irreversible damage, lack of full scientific certainty shall not be used as a reason for postponing cost-effective measures to prevent environmental degradation.</w:t>
      </w:r>
      <w:r w:rsidR="001D0331">
        <w:t>”</w:t>
      </w:r>
      <w:r w:rsidR="00497224">
        <w:rPr>
          <w:rStyle w:val="FootnoteReference"/>
        </w:rPr>
        <w:footnoteReference w:id="131"/>
      </w:r>
      <w:r w:rsidR="002A6BE2">
        <w:t xml:space="preserve"> This language</w:t>
      </w:r>
      <w:r w:rsidR="00C30356">
        <w:t xml:space="preserve"> </w:t>
      </w:r>
      <w:r w:rsidR="002A6BE2">
        <w:t xml:space="preserve">is used to </w:t>
      </w:r>
      <w:r w:rsidR="0091330B">
        <w:t>argue for</w:t>
      </w:r>
      <w:r w:rsidR="002A6BE2">
        <w:t xml:space="preserve"> regulation of GMOs to “lessen[] the risk of autism by decreasing the impact of environmental harm.”</w:t>
      </w:r>
      <w:r w:rsidR="002A6BE2">
        <w:rPr>
          <w:rStyle w:val="FootnoteReference"/>
        </w:rPr>
        <w:footnoteReference w:id="132"/>
      </w:r>
      <w:r w:rsidR="006A2F45">
        <w:t xml:space="preserve"> </w:t>
      </w:r>
      <w:r w:rsidR="00AE628F">
        <w:t xml:space="preserve">The precautionary principle </w:t>
      </w:r>
      <w:r w:rsidR="00CC01C8">
        <w:t xml:space="preserve">does </w:t>
      </w:r>
      <w:r w:rsidR="0091330B">
        <w:t>encourage</w:t>
      </w:r>
      <w:r w:rsidR="00AE628F">
        <w:t xml:space="preserve"> a cautious approach.</w:t>
      </w:r>
      <w:r w:rsidR="00A9086B">
        <w:rPr>
          <w:rStyle w:val="FootnoteReference"/>
        </w:rPr>
        <w:footnoteReference w:id="133"/>
      </w:r>
      <w:r w:rsidR="00A9086B">
        <w:t xml:space="preserve"> </w:t>
      </w:r>
      <w:r w:rsidR="00243396">
        <w:t xml:space="preserve">However, </w:t>
      </w:r>
      <w:r w:rsidR="00147E14">
        <w:t>t</w:t>
      </w:r>
      <w:r w:rsidR="002F7180">
        <w:t>he Feature offers no scientific evidence that</w:t>
      </w:r>
      <w:r w:rsidR="00BC12AC">
        <w:t xml:space="preserve"> GMO consumption causes autism, merely </w:t>
      </w:r>
      <w:r w:rsidR="00147E14">
        <w:t xml:space="preserve">stating the </w:t>
      </w:r>
      <w:r w:rsidR="00BC12AC">
        <w:t>“known harm” of GMO consumption.</w:t>
      </w:r>
      <w:r w:rsidR="00BC12AC">
        <w:rPr>
          <w:rStyle w:val="FootnoteReference"/>
        </w:rPr>
        <w:footnoteReference w:id="134"/>
      </w:r>
      <w:r w:rsidR="00D637F1">
        <w:t xml:space="preserve"> By contrast, </w:t>
      </w:r>
      <w:r w:rsidR="00147E14">
        <w:t xml:space="preserve">hundreds if not </w:t>
      </w:r>
      <w:r w:rsidR="00CC2B84">
        <w:t>thousands</w:t>
      </w:r>
      <w:r w:rsidR="00D637F1">
        <w:t xml:space="preserve"> of scientific studies have studied the impact of GMOs, with the overwhelming weight of the evidence finding no unique risks to human safety or environmental harm.</w:t>
      </w:r>
      <w:r w:rsidR="00D637F1">
        <w:rPr>
          <w:rStyle w:val="FootnoteReference"/>
        </w:rPr>
        <w:footnoteReference w:id="135"/>
      </w:r>
      <w:r w:rsidR="00243396">
        <w:t xml:space="preserve"> Invoking the precautionary principle in </w:t>
      </w:r>
      <w:r w:rsidR="00147E14">
        <w:t>such a</w:t>
      </w:r>
      <w:r w:rsidR="00372079">
        <w:t xml:space="preserve"> </w:t>
      </w:r>
      <w:r w:rsidR="00147E14">
        <w:t xml:space="preserve">context </w:t>
      </w:r>
      <w:r w:rsidR="00243396">
        <w:t xml:space="preserve">would </w:t>
      </w:r>
      <w:r w:rsidR="00243396">
        <w:lastRenderedPageBreak/>
        <w:t xml:space="preserve">make public health innovations impossible. The principle </w:t>
      </w:r>
      <w:r w:rsidR="00147E14">
        <w:t>would only serve as an obstruction</w:t>
      </w:r>
      <w:r w:rsidR="00FA29E3">
        <w:t xml:space="preserve">: </w:t>
      </w:r>
      <w:r>
        <w:t xml:space="preserve">When a risk for environmental harm has a probability above zero, the activity should be stopped, even when no </w:t>
      </w:r>
      <w:r w:rsidR="006A2F45">
        <w:t xml:space="preserve">rigorous </w:t>
      </w:r>
      <w:r>
        <w:t>scientific evidence support</w:t>
      </w:r>
      <w:r w:rsidR="006A2F45">
        <w:t>s</w:t>
      </w:r>
      <w:r>
        <w:t xml:space="preserve"> a causal relation.</w:t>
      </w:r>
      <w:r>
        <w:rPr>
          <w:rStyle w:val="FootnoteReference"/>
        </w:rPr>
        <w:footnoteReference w:id="136"/>
      </w:r>
    </w:p>
    <w:p w14:paraId="204A213A" w14:textId="5B4B87C5" w:rsidR="00D6292B" w:rsidRDefault="00D6292B" w:rsidP="00225342"/>
    <w:p w14:paraId="03628DE7" w14:textId="6683082A" w:rsidR="00225342" w:rsidRDefault="006A2F45" w:rsidP="00225342">
      <w:r>
        <w:t xml:space="preserve">Second, </w:t>
      </w:r>
      <w:r w:rsidR="00C30356">
        <w:t xml:space="preserve">authors must avoid implying a stronger scientific connection than actually exists in the literature. </w:t>
      </w:r>
      <w:r w:rsidR="001F0CED">
        <w:t>T</w:t>
      </w:r>
      <w:r w:rsidR="00225342">
        <w:t xml:space="preserve">he </w:t>
      </w:r>
      <w:r w:rsidR="00C30356">
        <w:t>Feature</w:t>
      </w:r>
      <w:r w:rsidR="00225342">
        <w:t xml:space="preserve"> states that “[c]</w:t>
      </w:r>
      <w:proofErr w:type="spellStart"/>
      <w:r w:rsidR="00225342">
        <w:t>hief</w:t>
      </w:r>
      <w:proofErr w:type="spellEnd"/>
      <w:r w:rsidR="00225342">
        <w:t xml:space="preserve"> among the untapped factors contributing to the rise of autism in the United States is the correlation between the widespread use and consumption of GMOs and the increase in cases of autism.”</w:t>
      </w:r>
      <w:r w:rsidR="00225342">
        <w:rPr>
          <w:rStyle w:val="FootnoteReference"/>
        </w:rPr>
        <w:footnoteReference w:id="137"/>
      </w:r>
      <w:r w:rsidR="00147E14">
        <w:t xml:space="preserve"> This is </w:t>
      </w:r>
      <w:r w:rsidR="00C30356">
        <w:t xml:space="preserve">not only </w:t>
      </w:r>
      <w:r w:rsidR="00147E14">
        <w:t xml:space="preserve">another example of correlation-causation </w:t>
      </w:r>
      <w:r w:rsidR="00C30356">
        <w:t>fallacy,</w:t>
      </w:r>
      <w:r w:rsidR="00147E14">
        <w:rPr>
          <w:rStyle w:val="FootnoteReference"/>
        </w:rPr>
        <w:footnoteReference w:id="138"/>
      </w:r>
      <w:r w:rsidR="004750DB">
        <w:t xml:space="preserve"> </w:t>
      </w:r>
      <w:r w:rsidR="00C30356">
        <w:t>but t</w:t>
      </w:r>
      <w:r w:rsidR="004750DB">
        <w:t>here is also no evidence that GMO consumption is a ‘chief untapped factor’ contributing to the rise of autism cases. These statements could be</w:t>
      </w:r>
      <w:r w:rsidR="002248AB">
        <w:t xml:space="preserve"> misinterpreted as implying that discovery of a GMO-autism link holds significant scientific promise</w:t>
      </w:r>
      <w:r w:rsidR="00D25C22">
        <w:t>, n</w:t>
      </w:r>
      <w:r w:rsidR="001F0CED">
        <w:t>o</w:t>
      </w:r>
      <w:r w:rsidR="00225342">
        <w:t xml:space="preserve"> causal-based evidence </w:t>
      </w:r>
      <w:r w:rsidR="001F0CED">
        <w:t xml:space="preserve">yet exists </w:t>
      </w:r>
      <w:r w:rsidR="002248AB">
        <w:t xml:space="preserve">justifying </w:t>
      </w:r>
      <w:r w:rsidR="00D25C22">
        <w:t>such a</w:t>
      </w:r>
      <w:r w:rsidR="002248AB">
        <w:t xml:space="preserve"> </w:t>
      </w:r>
      <w:r w:rsidR="00D25C22">
        <w:t>claim</w:t>
      </w:r>
      <w:r w:rsidR="00225342">
        <w:t>.</w:t>
      </w:r>
    </w:p>
    <w:p w14:paraId="1C8A505C" w14:textId="51F0B7C5" w:rsidR="00225342" w:rsidRDefault="00225342" w:rsidP="00225342"/>
    <w:p w14:paraId="172DFC66" w14:textId="490B445D" w:rsidR="00225342" w:rsidRDefault="00C30356" w:rsidP="00225342">
      <w:r>
        <w:t xml:space="preserve">Third, </w:t>
      </w:r>
      <w:r w:rsidR="002A046E">
        <w:t>quotations from scientists or other experts must be carefully made.</w:t>
      </w:r>
      <w:r>
        <w:t xml:space="preserve"> </w:t>
      </w:r>
      <w:r w:rsidR="00CB3233">
        <w:t>For example, t</w:t>
      </w:r>
      <w:r w:rsidR="00225342">
        <w:t xml:space="preserve">he Feature </w:t>
      </w:r>
      <w:r w:rsidR="00EA6352">
        <w:t xml:space="preserve">quotes </w:t>
      </w:r>
      <w:r w:rsidR="00225342">
        <w:t xml:space="preserve">a physician and advocate for </w:t>
      </w:r>
      <w:r w:rsidR="0039590F">
        <w:t>food and nutrition</w:t>
      </w:r>
      <w:r w:rsidR="002A046E">
        <w:t xml:space="preserve"> public health issues,</w:t>
      </w:r>
      <w:r w:rsidR="0039590F">
        <w:t xml:space="preserve"> </w:t>
      </w:r>
      <w:r w:rsidR="009F6EDA">
        <w:t xml:space="preserve">who says in order to address the </w:t>
      </w:r>
      <w:r w:rsidR="002A046E">
        <w:t>rise</w:t>
      </w:r>
      <w:r w:rsidR="009F6EDA">
        <w:t xml:space="preserve"> of autism cases: “</w:t>
      </w:r>
      <w:r w:rsidR="00225342" w:rsidRPr="00021A3E">
        <w:t>it’s critical we consider how unhealthy diets interfere with the body’s ability to eliminate toxic chemicals, and ultimately our risk for developing long-term health problems like autism.</w:t>
      </w:r>
      <w:r w:rsidR="009F6EDA">
        <w:t>”</w:t>
      </w:r>
      <w:r w:rsidR="00225342">
        <w:rPr>
          <w:rStyle w:val="FootnoteReference"/>
        </w:rPr>
        <w:footnoteReference w:id="139"/>
      </w:r>
      <w:r w:rsidR="009F6EDA">
        <w:t xml:space="preserve"> </w:t>
      </w:r>
      <w:r w:rsidR="002A046E">
        <w:t>The Feature quotes</w:t>
      </w:r>
      <w:r w:rsidR="00E925E7">
        <w:t xml:space="preserve"> </w:t>
      </w:r>
      <w:r w:rsidR="00EA6352">
        <w:t>the expert</w:t>
      </w:r>
      <w:r w:rsidR="002A046E">
        <w:t xml:space="preserve"> this way</w:t>
      </w:r>
      <w:r w:rsidR="00E925E7">
        <w:t>: “‘</w:t>
      </w:r>
      <w:r w:rsidR="00E925E7" w:rsidRPr="00021A3E">
        <w:t>it’s critical we consider how unhealthy diets interfere with the body’s ability to eliminate toxic chemicals,</w:t>
      </w:r>
      <w:r w:rsidR="00E925E7">
        <w:t>’</w:t>
      </w:r>
      <w:r w:rsidR="00E925E7" w:rsidRPr="00E925E7">
        <w:rPr>
          <w:i/>
        </w:rPr>
        <w:t xml:space="preserve"> </w:t>
      </w:r>
      <w:r w:rsidR="00E925E7" w:rsidRPr="00021A3E">
        <w:rPr>
          <w:i/>
        </w:rPr>
        <w:t>which leads to an increase in developmental health problems such as autism</w:t>
      </w:r>
      <w:r w:rsidR="00E925E7">
        <w:rPr>
          <w:i/>
        </w:rPr>
        <w:t>.</w:t>
      </w:r>
      <w:r w:rsidR="00E925E7">
        <w:t>”</w:t>
      </w:r>
      <w:r w:rsidR="00E925E7">
        <w:rPr>
          <w:rStyle w:val="FootnoteReference"/>
        </w:rPr>
        <w:footnoteReference w:id="140"/>
      </w:r>
      <w:r w:rsidR="002A046E">
        <w:t xml:space="preserve"> The original language and its interpretation by the Feature are not the same. </w:t>
      </w:r>
      <w:r w:rsidR="00EA6352">
        <w:t>The expert</w:t>
      </w:r>
      <w:r w:rsidR="00225342" w:rsidRPr="00021A3E">
        <w:t xml:space="preserve"> affirms the importance of understanding of how poor diet impacts long-term health problems like a</w:t>
      </w:r>
      <w:r w:rsidR="00E925E7">
        <w:t>utism in order to assess future risk.</w:t>
      </w:r>
      <w:r w:rsidR="00225342">
        <w:t xml:space="preserve"> T</w:t>
      </w:r>
      <w:r w:rsidR="00225342" w:rsidRPr="00021A3E">
        <w:t xml:space="preserve">he Feature, </w:t>
      </w:r>
      <w:r w:rsidR="00225342">
        <w:t>however, by</w:t>
      </w:r>
      <w:r w:rsidR="00225342" w:rsidRPr="00021A3E">
        <w:t xml:space="preserve"> </w:t>
      </w:r>
      <w:r w:rsidR="00225342">
        <w:t>following the quote with</w:t>
      </w:r>
      <w:r w:rsidR="00225342" w:rsidRPr="00021A3E">
        <w:t xml:space="preserve"> “which leads to an increase in development health problems such as autism,”</w:t>
      </w:r>
      <w:r w:rsidR="002A046E">
        <w:rPr>
          <w:rStyle w:val="FootnoteReference"/>
        </w:rPr>
        <w:footnoteReference w:id="141"/>
      </w:r>
      <w:r w:rsidR="00225342" w:rsidRPr="00021A3E">
        <w:t xml:space="preserve"> </w:t>
      </w:r>
      <w:r w:rsidR="00E925E7">
        <w:t>encourages the interpretation that the physician supported a causative link betw</w:t>
      </w:r>
      <w:r w:rsidR="00225342">
        <w:t>een diet and autism</w:t>
      </w:r>
      <w:r w:rsidR="00225342" w:rsidRPr="00021A3E">
        <w:t>.</w:t>
      </w:r>
      <w:r w:rsidR="00225342">
        <w:t xml:space="preserve"> </w:t>
      </w:r>
      <w:r w:rsidR="00EA6352">
        <w:t xml:space="preserve">The expert’s statement </w:t>
      </w:r>
      <w:r w:rsidR="00225342" w:rsidRPr="00021A3E">
        <w:t xml:space="preserve">did not </w:t>
      </w:r>
      <w:r w:rsidR="00225342">
        <w:t>support</w:t>
      </w:r>
      <w:r w:rsidR="00E925E7">
        <w:t xml:space="preserve"> such a causative connection, and extends the expert beyond what he had intended to say.</w:t>
      </w:r>
    </w:p>
    <w:p w14:paraId="5A38A347" w14:textId="23E69E21" w:rsidR="00225342" w:rsidRDefault="00225342" w:rsidP="00225342"/>
    <w:p w14:paraId="3134D75E" w14:textId="77777777" w:rsidR="00EA6352" w:rsidRDefault="002864ED" w:rsidP="00225342">
      <w:r>
        <w:t xml:space="preserve">Fourth, links in causal chains of logic </w:t>
      </w:r>
      <w:r w:rsidR="005211F4">
        <w:t xml:space="preserve">should be </w:t>
      </w:r>
      <w:r w:rsidR="00EA6352">
        <w:t>clear and supportable</w:t>
      </w:r>
      <w:r>
        <w:t>.</w:t>
      </w:r>
      <w:r w:rsidR="00EA6352">
        <w:t xml:space="preserve"> The </w:t>
      </w:r>
      <w:r w:rsidR="00225342">
        <w:t xml:space="preserve">Feature </w:t>
      </w:r>
      <w:r w:rsidR="00EA6352">
        <w:t>claims that soy, milk, and starches could affect autism, arguing that “</w:t>
      </w:r>
      <w:r w:rsidR="00225342">
        <w:t xml:space="preserve">The commonalities of these specific food products make it difficult to call their connection to autism coincidental. Starches are made almost entirely from genetically modified corn, soy is the leading GMO crop, and most milk is laden with </w:t>
      </w:r>
      <w:proofErr w:type="spellStart"/>
      <w:r w:rsidR="00225342">
        <w:t>rBGH</w:t>
      </w:r>
      <w:proofErr w:type="spellEnd"/>
      <w:r w:rsidR="00225342">
        <w:t xml:space="preserve"> hormone.</w:t>
      </w:r>
      <w:r w:rsidR="00EA6352">
        <w:t xml:space="preserve"> . . .”</w:t>
      </w:r>
      <w:r w:rsidR="00225342">
        <w:rPr>
          <w:rStyle w:val="FootnoteReference"/>
        </w:rPr>
        <w:footnoteReference w:id="142"/>
      </w:r>
      <w:r w:rsidR="00225342">
        <w:t xml:space="preserve"> </w:t>
      </w:r>
      <w:r w:rsidR="00EA6352">
        <w:t>However, t</w:t>
      </w:r>
      <w:r w:rsidR="00225342">
        <w:t xml:space="preserve">he source cited by the Feature </w:t>
      </w:r>
      <w:r w:rsidR="00EA6352">
        <w:t>for support</w:t>
      </w:r>
      <w:r w:rsidR="00225342">
        <w:t xml:space="preserve"> does not mention soy, milk, or starches or that these are main foods that affect autism.</w:t>
      </w:r>
      <w:r w:rsidR="00225342">
        <w:rPr>
          <w:rStyle w:val="FootnoteReference"/>
        </w:rPr>
        <w:footnoteReference w:id="143"/>
      </w:r>
      <w:r w:rsidR="00225342">
        <w:t xml:space="preserve"> Even if we assume this statement is </w:t>
      </w:r>
      <w:r w:rsidR="00FE53CA">
        <w:t>supportable</w:t>
      </w:r>
      <w:r w:rsidR="00225342">
        <w:t xml:space="preserve">, the </w:t>
      </w:r>
      <w:r w:rsidR="00225342">
        <w:lastRenderedPageBreak/>
        <w:t xml:space="preserve">mere fact that soy, milk, and starches use GMOs or </w:t>
      </w:r>
      <w:proofErr w:type="spellStart"/>
      <w:r w:rsidR="00225342">
        <w:t>rBGH</w:t>
      </w:r>
      <w:proofErr w:type="spellEnd"/>
      <w:r w:rsidR="00225342">
        <w:t xml:space="preserve"> hormone is not alone sufficient to support a co</w:t>
      </w:r>
      <w:r w:rsidR="00D93765">
        <w:t>nclusion. F</w:t>
      </w:r>
      <w:r w:rsidR="00225342">
        <w:t>urther study</w:t>
      </w:r>
      <w:r w:rsidR="00D93765">
        <w:t xml:space="preserve"> might be merited</w:t>
      </w:r>
      <w:r w:rsidR="00225342">
        <w:t xml:space="preserve">, but without more the association remains coincidental. </w:t>
      </w:r>
    </w:p>
    <w:p w14:paraId="0273B4AA" w14:textId="77777777" w:rsidR="00EA6352" w:rsidRDefault="00EA6352" w:rsidP="00225342"/>
    <w:p w14:paraId="7400E345" w14:textId="77777777" w:rsidR="00CC01C8" w:rsidRPr="004400EF" w:rsidRDefault="00CC01C8" w:rsidP="00CC01C8">
      <w:pPr>
        <w:rPr>
          <w:i/>
        </w:rPr>
      </w:pPr>
      <w:r>
        <w:rPr>
          <w:i/>
        </w:rPr>
        <w:t>C</w:t>
      </w:r>
      <w:r w:rsidRPr="004400EF">
        <w:rPr>
          <w:i/>
        </w:rPr>
        <w:t xml:space="preserve">. </w:t>
      </w:r>
      <w:r>
        <w:rPr>
          <w:i/>
        </w:rPr>
        <w:t>Does the Feature’s Source Support its Claim?</w:t>
      </w:r>
    </w:p>
    <w:p w14:paraId="611BCD5E" w14:textId="1609C2D3" w:rsidR="00CC01C8" w:rsidRDefault="00CC01C8" w:rsidP="00CC01C8"/>
    <w:p w14:paraId="731E170B" w14:textId="3479B0CF" w:rsidR="0045358E" w:rsidRDefault="00CB3233" w:rsidP="00CC01C8">
      <w:r>
        <w:t xml:space="preserve">Though not as singularly dependent as the Blog on a single source, the Feature </w:t>
      </w:r>
      <w:r w:rsidR="007D021D">
        <w:t xml:space="preserve">cites </w:t>
      </w:r>
      <w:r>
        <w:t xml:space="preserve">a single source when </w:t>
      </w:r>
      <w:r w:rsidR="00742365">
        <w:t xml:space="preserve">making </w:t>
      </w:r>
      <w:r w:rsidR="002E7DD2">
        <w:t>a key</w:t>
      </w:r>
      <w:r>
        <w:t xml:space="preserve"> </w:t>
      </w:r>
      <w:r w:rsidR="00742365">
        <w:t>argument in support of its autism-GMO claim</w:t>
      </w:r>
      <w:r>
        <w:t>: “GMO consumption has now been linked to a rise in the number of autism cases; where a genetic risk already exists, the consumption of GMOs may catalyze the risk of autism.”</w:t>
      </w:r>
      <w:r>
        <w:rPr>
          <w:rStyle w:val="FootnoteReference"/>
        </w:rPr>
        <w:footnoteReference w:id="144"/>
      </w:r>
      <w:r w:rsidR="007D021D">
        <w:t xml:space="preserve"> The feature relies on a </w:t>
      </w:r>
      <w:r w:rsidR="00CC01C8">
        <w:t>press release by an agriculture and trade advocacy group.</w:t>
      </w:r>
      <w:r w:rsidR="00CC01C8">
        <w:rPr>
          <w:rStyle w:val="FootnoteReference"/>
        </w:rPr>
        <w:footnoteReference w:id="145"/>
      </w:r>
      <w:r w:rsidR="00CC01C8">
        <w:t xml:space="preserve"> </w:t>
      </w:r>
      <w:r w:rsidR="0045358E">
        <w:t>The press release, however, does not mention a link between autism and GMOs. Instead, the press release summarizes a scientific paper proposing a multi-factor ‘</w:t>
      </w:r>
      <w:proofErr w:type="spellStart"/>
      <w:r w:rsidR="0045358E">
        <w:t>macroepigenetic</w:t>
      </w:r>
      <w:proofErr w:type="spellEnd"/>
      <w:r w:rsidR="0045358E">
        <w:t xml:space="preserve"> approach’ to identify factors related to incidences of autism. GMOs and GMO policy are not mentioned.</w:t>
      </w:r>
      <w:r w:rsidR="00742365">
        <w:t xml:space="preserve"> The press release focuses on a connection between autism and industrial food and the environment, not genetic modification of foods.</w:t>
      </w:r>
    </w:p>
    <w:p w14:paraId="57F428B6" w14:textId="4CCAC52E" w:rsidR="007512BF" w:rsidRDefault="007512BF" w:rsidP="00CC01C8"/>
    <w:p w14:paraId="49DB1C02" w14:textId="5AA41CE0" w:rsidR="007512BF" w:rsidRDefault="007512BF" w:rsidP="00CC01C8">
      <w:r>
        <w:t>The gap between claim and source is wider in the Feature</w:t>
      </w:r>
      <w:r w:rsidR="007F38AF">
        <w:t xml:space="preserve"> than it is in the Blog</w:t>
      </w:r>
      <w:r>
        <w:t>. While the Blog’s support was at least partial, the Feature’s source is merely tangential to its argument. The gap is also more problematic than that found in the Blog because it appears in an academic publication, which may give additional credibility to the arguments made.</w:t>
      </w:r>
      <w:r w:rsidR="002E7DD2">
        <w:t xml:space="preserve"> The author could have improved her argument through more rigorous and close citation of original research. The editors could also have more closely checked the statement and the works cited. Thus, distortions of scientific knowledge can occur not simply through the mistake of an author, but through a publication process which on occasion may not apply sufficient rigor to evaluating statements and sources of forthcoming work.</w:t>
      </w:r>
    </w:p>
    <w:p w14:paraId="40D2A210" w14:textId="6BA004E5" w:rsidR="002E7DD2" w:rsidRDefault="002E7DD2" w:rsidP="00CC01C8"/>
    <w:p w14:paraId="7E647D9D" w14:textId="04E6AD6A" w:rsidR="00576B8C" w:rsidRDefault="00576B8C">
      <w:r>
        <w:t xml:space="preserve">The next Part of this article will examine the Feature’s source, a press release </w:t>
      </w:r>
      <w:r w:rsidR="00742365">
        <w:t>publicizing an approach to better understand how various factors influence autism prevalence in the United States.</w:t>
      </w:r>
    </w:p>
    <w:p w14:paraId="2DDBC2E5" w14:textId="77777777" w:rsidR="00576B8C" w:rsidRDefault="00576B8C"/>
    <w:p w14:paraId="278511D0" w14:textId="77777777" w:rsidR="0079497B" w:rsidRDefault="0079497B"/>
    <w:p w14:paraId="37092298" w14:textId="2525E4B1" w:rsidR="007038D1" w:rsidRPr="00DC7C10" w:rsidRDefault="007C1291" w:rsidP="007038D1">
      <w:pPr>
        <w:rPr>
          <w:b/>
        </w:rPr>
      </w:pPr>
      <w:r w:rsidRPr="00DC7C10">
        <w:rPr>
          <w:b/>
        </w:rPr>
        <w:t>IV</w:t>
      </w:r>
      <w:r w:rsidR="007038D1" w:rsidRPr="00DC7C10">
        <w:rPr>
          <w:b/>
        </w:rPr>
        <w:t xml:space="preserve">. The Press Release – </w:t>
      </w:r>
      <w:r w:rsidR="00D258BF">
        <w:rPr>
          <w:b/>
        </w:rPr>
        <w:t>‘</w:t>
      </w:r>
      <w:r w:rsidR="007038D1" w:rsidRPr="00DC7C10">
        <w:rPr>
          <w:b/>
        </w:rPr>
        <w:t xml:space="preserve">A </w:t>
      </w:r>
      <w:r w:rsidR="00D258BF">
        <w:rPr>
          <w:b/>
        </w:rPr>
        <w:t>Proposed</w:t>
      </w:r>
      <w:r w:rsidR="00654834">
        <w:rPr>
          <w:b/>
        </w:rPr>
        <w:t xml:space="preserve"> Link between</w:t>
      </w:r>
      <w:r w:rsidR="007038D1" w:rsidRPr="00DC7C10">
        <w:rPr>
          <w:b/>
        </w:rPr>
        <w:t xml:space="preserve"> Autism </w:t>
      </w:r>
      <w:r w:rsidR="00654834">
        <w:rPr>
          <w:b/>
        </w:rPr>
        <w:t xml:space="preserve">and </w:t>
      </w:r>
      <w:r w:rsidR="007038D1" w:rsidRPr="00DC7C10">
        <w:rPr>
          <w:b/>
        </w:rPr>
        <w:t>Industrial Food and the Environment</w:t>
      </w:r>
      <w:r w:rsidR="00D258BF">
        <w:rPr>
          <w:b/>
        </w:rPr>
        <w:t>’</w:t>
      </w:r>
    </w:p>
    <w:p w14:paraId="7480E660" w14:textId="77777777" w:rsidR="007038D1" w:rsidRDefault="007038D1" w:rsidP="007038D1"/>
    <w:p w14:paraId="400BD630" w14:textId="7CF356B3" w:rsidR="00C6422B" w:rsidRPr="0064661E" w:rsidRDefault="00C6422B" w:rsidP="00C6422B">
      <w:r w:rsidRPr="0064661E">
        <w:rPr>
          <w:i/>
        </w:rPr>
        <w:t xml:space="preserve">A. </w:t>
      </w:r>
      <w:r>
        <w:rPr>
          <w:i/>
        </w:rPr>
        <w:t>Claims of the Press Release</w:t>
      </w:r>
    </w:p>
    <w:p w14:paraId="1012E3D1" w14:textId="2124CA07" w:rsidR="007038D1" w:rsidRPr="00DC7C10" w:rsidRDefault="007038D1" w:rsidP="007038D1"/>
    <w:p w14:paraId="3FBA94FA" w14:textId="3BA05504" w:rsidR="00225342" w:rsidRPr="009A0E01" w:rsidRDefault="00DC7C10" w:rsidP="00225342">
      <w:r>
        <w:t xml:space="preserve">For </w:t>
      </w:r>
      <w:r w:rsidR="00E52733">
        <w:t>the</w:t>
      </w:r>
      <w:r>
        <w:t xml:space="preserve"> claim that GMOs can cause autism under certain conditions, the Feature primarily relies on a </w:t>
      </w:r>
      <w:r w:rsidR="00225342">
        <w:t xml:space="preserve">press release </w:t>
      </w:r>
      <w:r w:rsidR="00E52733">
        <w:t xml:space="preserve">(Press Release) </w:t>
      </w:r>
      <w:r w:rsidR="00225342">
        <w:t xml:space="preserve">by the advocacy group </w:t>
      </w:r>
      <w:r w:rsidR="00225342">
        <w:rPr>
          <w:i/>
        </w:rPr>
        <w:t>Institute for Agriculture and Trade Policy</w:t>
      </w:r>
      <w:r w:rsidR="00225342">
        <w:t xml:space="preserve"> (ITAP).</w:t>
      </w:r>
      <w:bookmarkStart w:id="24" w:name="_Ref535244841"/>
      <w:r w:rsidR="00225342">
        <w:rPr>
          <w:rStyle w:val="FootnoteReference"/>
        </w:rPr>
        <w:footnoteReference w:id="146"/>
      </w:r>
      <w:bookmarkEnd w:id="24"/>
      <w:r w:rsidR="00225342">
        <w:t xml:space="preserve"> The purpose of IATP is to promote growth and consumption of fair and sustainable food, farm, and trade systems through innovations in policy and practice.</w:t>
      </w:r>
      <w:r w:rsidR="00225342">
        <w:rPr>
          <w:rStyle w:val="FootnoteReference"/>
        </w:rPr>
        <w:footnoteReference w:id="147"/>
      </w:r>
    </w:p>
    <w:p w14:paraId="161820B1" w14:textId="77777777" w:rsidR="00225342" w:rsidRPr="004B242D" w:rsidRDefault="00225342" w:rsidP="00225342"/>
    <w:p w14:paraId="36AAE790" w14:textId="24681331" w:rsidR="00225342" w:rsidRPr="000A6EC8" w:rsidRDefault="00225342" w:rsidP="00225342">
      <w:r>
        <w:t xml:space="preserve">The </w:t>
      </w:r>
      <w:r w:rsidR="00E52733">
        <w:t>Press Release</w:t>
      </w:r>
      <w:r w:rsidR="00654834">
        <w:t>, titled “</w:t>
      </w:r>
      <w:r w:rsidR="00654834" w:rsidRPr="00654834">
        <w:rPr>
          <w:i/>
        </w:rPr>
        <w:t>Study Links Autism With Industrial food, Environment</w:t>
      </w:r>
      <w:r w:rsidR="00654834">
        <w:t>” summarizes a study that examines how</w:t>
      </w:r>
      <w:r>
        <w:t xml:space="preserve"> “</w:t>
      </w:r>
      <w:r w:rsidRPr="00DC38C5">
        <w:t xml:space="preserve">mineral deficiencies—affected by dietary factors like high fructose corn syrup </w:t>
      </w:r>
      <w:r w:rsidRPr="00DC38C5">
        <w:lastRenderedPageBreak/>
        <w:t>(HFCS)—could impact how the human body rids itself of common toxic chemicals like mercury and pesticides</w:t>
      </w:r>
      <w:r>
        <w:t>.”</w:t>
      </w:r>
      <w:r>
        <w:rPr>
          <w:rStyle w:val="FootnoteReference"/>
        </w:rPr>
        <w:footnoteReference w:id="148"/>
      </w:r>
      <w:r>
        <w:t xml:space="preserve"> According to the </w:t>
      </w:r>
      <w:r w:rsidR="00E52733">
        <w:t>P</w:t>
      </w:r>
      <w:r>
        <w:t xml:space="preserve">ress </w:t>
      </w:r>
      <w:r w:rsidR="00E52733">
        <w:t>R</w:t>
      </w:r>
      <w:r>
        <w:t>elease, the study’s lead author developed “</w:t>
      </w:r>
      <w:r w:rsidRPr="002B322D">
        <w:t>an innovative scientific approach to describe the subtle side effects of HFCS consumption and other dietary factors on the human body and how they relate to chronic disorders</w:t>
      </w:r>
      <w:r>
        <w:t>.”</w:t>
      </w:r>
      <w:r>
        <w:rPr>
          <w:rStyle w:val="FootnoteReference"/>
        </w:rPr>
        <w:footnoteReference w:id="149"/>
      </w:r>
      <w:r>
        <w:t xml:space="preserve"> The report also intersperses information about the “skyrocketing” autism rates and that the US public education system is under “extreme stress” as a result.</w:t>
      </w:r>
      <w:r>
        <w:rPr>
          <w:rStyle w:val="FootnoteReference"/>
        </w:rPr>
        <w:footnoteReference w:id="150"/>
      </w:r>
    </w:p>
    <w:p w14:paraId="0769F710" w14:textId="77777777" w:rsidR="00225342" w:rsidRPr="00EF4735" w:rsidRDefault="00225342" w:rsidP="00225342"/>
    <w:p w14:paraId="1D55AFAB" w14:textId="63791242" w:rsidR="00225342" w:rsidRDefault="0041382A" w:rsidP="00225342">
      <w:r>
        <w:t>After summarizing the study’s “key findings” related to HFCS consumption, nutrition, and elimination of heavy metals,</w:t>
      </w:r>
      <w:bookmarkStart w:id="25" w:name="_Ref512109058"/>
      <w:r>
        <w:rPr>
          <w:rStyle w:val="FootnoteReference"/>
        </w:rPr>
        <w:footnoteReference w:id="151"/>
      </w:r>
      <w:bookmarkEnd w:id="25"/>
      <w:r>
        <w:t xml:space="preserve"> t</w:t>
      </w:r>
      <w:r w:rsidR="00225342">
        <w:t xml:space="preserve">he </w:t>
      </w:r>
      <w:r w:rsidR="00E52733">
        <w:t>Press Release</w:t>
      </w:r>
      <w:r w:rsidR="00225342">
        <w:t xml:space="preserve"> concludes that the potential causes of autism </w:t>
      </w:r>
      <w:r w:rsidR="00EF4735">
        <w:t>are</w:t>
      </w:r>
      <w:r w:rsidR="00225342">
        <w:t xml:space="preserve"> </w:t>
      </w:r>
      <w:r w:rsidR="00EF4735">
        <w:t>complex and</w:t>
      </w:r>
      <w:r w:rsidR="00225342">
        <w:t xml:space="preserve"> influenced by a variety of factors. The study summarized by the </w:t>
      </w:r>
      <w:r w:rsidR="00E52733">
        <w:t>Press Release</w:t>
      </w:r>
      <w:r w:rsidR="00225342">
        <w:t xml:space="preserve"> “give[s] insight into the complex interplay” between these factors.</w:t>
      </w:r>
      <w:r w:rsidR="00225342">
        <w:rPr>
          <w:rStyle w:val="FootnoteReference"/>
        </w:rPr>
        <w:footnoteReference w:id="152"/>
      </w:r>
      <w:r w:rsidR="00225342">
        <w:t xml:space="preserve"> The </w:t>
      </w:r>
      <w:r w:rsidR="00E52733">
        <w:t>Press Release</w:t>
      </w:r>
      <w:r w:rsidR="00225342">
        <w:t xml:space="preserve"> thus recommends that “[</w:t>
      </w:r>
      <w:proofErr w:type="spellStart"/>
      <w:r w:rsidR="00225342">
        <w:t>i</w:t>
      </w:r>
      <w:proofErr w:type="spellEnd"/>
      <w:r w:rsidR="00225342">
        <w:t xml:space="preserve">]n order to curb the epidemic of autism in the U. S., continued analysis of the impact of the industrialized food system and exposure to environmental toxins on </w:t>
      </w:r>
      <w:r w:rsidR="00CC16A9">
        <w:t xml:space="preserve">[autism spectrum disorder] </w:t>
      </w:r>
      <w:r w:rsidR="00225342">
        <w:t>ASD must be key areas of research moving forward.”</w:t>
      </w:r>
      <w:r w:rsidR="00225342">
        <w:rPr>
          <w:rStyle w:val="FootnoteReference"/>
        </w:rPr>
        <w:footnoteReference w:id="153"/>
      </w:r>
    </w:p>
    <w:p w14:paraId="0C5F3D77" w14:textId="3CC5BE85" w:rsidR="0041382A" w:rsidRDefault="0041382A" w:rsidP="00225342"/>
    <w:p w14:paraId="275899E3" w14:textId="56441C96" w:rsidR="0041382A" w:rsidRPr="004400EF" w:rsidRDefault="0041382A" w:rsidP="0041382A">
      <w:pPr>
        <w:rPr>
          <w:i/>
        </w:rPr>
      </w:pPr>
      <w:r>
        <w:rPr>
          <w:i/>
        </w:rPr>
        <w:t>B</w:t>
      </w:r>
      <w:r w:rsidRPr="0079497B">
        <w:rPr>
          <w:i/>
        </w:rPr>
        <w:t xml:space="preserve">. </w:t>
      </w:r>
      <w:r w:rsidR="005D20B7">
        <w:rPr>
          <w:i/>
        </w:rPr>
        <w:t xml:space="preserve">Does the </w:t>
      </w:r>
      <w:r w:rsidR="00D258BF">
        <w:rPr>
          <w:i/>
        </w:rPr>
        <w:t>Press Release</w:t>
      </w:r>
      <w:r w:rsidR="005D20B7">
        <w:rPr>
          <w:i/>
        </w:rPr>
        <w:t xml:space="preserve"> Potentially Miscommunicate</w:t>
      </w:r>
      <w:r w:rsidR="00D258BF">
        <w:rPr>
          <w:i/>
        </w:rPr>
        <w:t xml:space="preserve"> Science</w:t>
      </w:r>
      <w:r w:rsidR="005D20B7">
        <w:rPr>
          <w:i/>
        </w:rPr>
        <w:t>?</w:t>
      </w:r>
    </w:p>
    <w:p w14:paraId="3ECA1291" w14:textId="119F6C85" w:rsidR="0041382A" w:rsidRDefault="0041382A" w:rsidP="0041382A"/>
    <w:p w14:paraId="5B03BFB4" w14:textId="69DCC1E8" w:rsidR="004A649E" w:rsidRDefault="004A649E" w:rsidP="0041382A">
      <w:r>
        <w:t xml:space="preserve">The Press Release offers another example of how writers can miscommunicate, and in this example, it is through the title of online content. Any online article discussing science </w:t>
      </w:r>
      <w:r w:rsidR="009C0BF2">
        <w:t xml:space="preserve">must be careful about the terminology used and linguistic context in which statements are made. </w:t>
      </w:r>
      <w:r w:rsidR="00F55294">
        <w:t xml:space="preserve">Too casual use of quasi-scientific </w:t>
      </w:r>
      <w:r w:rsidR="0041382A">
        <w:t xml:space="preserve">terminology may leave the reader believing that a study has stronger conclusive power than it actually possesses. </w:t>
      </w:r>
      <w:r w:rsidR="00F55294">
        <w:t>Most prominent is that r</w:t>
      </w:r>
      <w:r w:rsidR="0041382A">
        <w:t>eaders may conflate causation and correlation.</w:t>
      </w:r>
      <w:r w:rsidR="0041382A">
        <w:rPr>
          <w:rStyle w:val="FootnoteReference"/>
        </w:rPr>
        <w:footnoteReference w:id="154"/>
      </w:r>
      <w:r w:rsidR="0041382A">
        <w:t xml:space="preserve"> Terms such as “link,” “effect,” and “association,” may be interpreted by the casual reader that one variable has a direct and causal relationship with another. </w:t>
      </w:r>
    </w:p>
    <w:p w14:paraId="1FDCD416" w14:textId="77777777" w:rsidR="004A649E" w:rsidRDefault="004A649E" w:rsidP="0041382A"/>
    <w:p w14:paraId="0169CD56" w14:textId="22740DE1" w:rsidR="0041382A" w:rsidRDefault="0041382A" w:rsidP="0041382A">
      <w:r>
        <w:t xml:space="preserve">A variety of </w:t>
      </w:r>
      <w:r w:rsidR="004A649E">
        <w:t xml:space="preserve">other </w:t>
      </w:r>
      <w:r>
        <w:t>terms are vulnerable to misinterpretation by the public</w:t>
      </w:r>
      <w:r w:rsidR="004A649E">
        <w:t xml:space="preserve"> a</w:t>
      </w:r>
      <w:r w:rsidR="003278EE">
        <w:t>s</w:t>
      </w:r>
      <w:r w:rsidR="004A649E">
        <w:t xml:space="preserve"> well</w:t>
      </w:r>
      <w:r>
        <w:t>. A “hypothesis”, for example, is a proposed explanation for a phenomenon that an individual raises that prompts the search for evidence.</w:t>
      </w:r>
      <w:r>
        <w:rPr>
          <w:rStyle w:val="FootnoteReference"/>
        </w:rPr>
        <w:footnoteReference w:id="155"/>
      </w:r>
      <w:r>
        <w:t xml:space="preserve"> The public, by contrast, perceives the term as merely an educated guess.</w:t>
      </w:r>
      <w:bookmarkStart w:id="26" w:name="_Ref535244993"/>
      <w:r>
        <w:rPr>
          <w:rStyle w:val="FootnoteReference"/>
        </w:rPr>
        <w:footnoteReference w:id="156"/>
      </w:r>
      <w:bookmarkEnd w:id="26"/>
      <w:r>
        <w:t xml:space="preserve"> Although the level of evidence can vary, a “theory” in science can be based on an overwhelming amount of evidence, such as the theory of gravity or the theory of evolution.</w:t>
      </w:r>
      <w:r>
        <w:rPr>
          <w:rStyle w:val="FootnoteReference"/>
        </w:rPr>
        <w:footnoteReference w:id="157"/>
      </w:r>
      <w:r>
        <w:t xml:space="preserve"> Theories explain the natural world that have been substantiated through repeated experimentation.</w:t>
      </w:r>
      <w:r>
        <w:rPr>
          <w:rStyle w:val="FootnoteReference"/>
        </w:rPr>
        <w:footnoteReference w:id="158"/>
      </w:r>
      <w:r>
        <w:t xml:space="preserve"> To the layperson, however, theories are</w:t>
      </w:r>
      <w:r w:rsidR="004A649E">
        <w:t xml:space="preserve"> akin to casual guesses and hunches used in everyday life.</w:t>
      </w:r>
      <w:r w:rsidR="004A649E">
        <w:rPr>
          <w:rStyle w:val="FootnoteReference"/>
        </w:rPr>
        <w:footnoteReference w:id="159"/>
      </w:r>
      <w:r w:rsidR="004A649E">
        <w:t xml:space="preserve"> </w:t>
      </w:r>
      <w:r>
        <w:t xml:space="preserve">Whereas “significance” in science means a difference empirically examined and found unlikely due to random chance, significance in the public </w:t>
      </w:r>
      <w:r>
        <w:lastRenderedPageBreak/>
        <w:t>could mean almost any event or idea worthy of casual consideration.</w:t>
      </w:r>
      <w:r>
        <w:rPr>
          <w:rStyle w:val="FootnoteReference"/>
        </w:rPr>
        <w:footnoteReference w:id="160"/>
      </w:r>
      <w:r>
        <w:t xml:space="preserve"> A publication that uses these terms without due care for its audience risks leaving lay readers with an impression significantly different from what the science actually supports. </w:t>
      </w:r>
    </w:p>
    <w:p w14:paraId="2FD5D5F4" w14:textId="397DB5C0" w:rsidR="00635A97" w:rsidRDefault="00635A97" w:rsidP="0041382A"/>
    <w:p w14:paraId="04B31269" w14:textId="1CDD32AE" w:rsidR="00110D65" w:rsidRDefault="00CB2129" w:rsidP="00110D65">
      <w:r>
        <w:t>T</w:t>
      </w:r>
      <w:r w:rsidR="00110D65">
        <w:t xml:space="preserve">he title of an online article has a dominant influence over how content is perceived. </w:t>
      </w:r>
      <w:r w:rsidR="00CC1243">
        <w:t>Headlines frame how the rest of the article is perceived.</w:t>
      </w:r>
      <w:r w:rsidR="00CC1243">
        <w:rPr>
          <w:rStyle w:val="FootnoteReference"/>
        </w:rPr>
        <w:footnoteReference w:id="161"/>
      </w:r>
      <w:r w:rsidR="00CC1243">
        <w:t xml:space="preserve"> Headlines are also important for determining how much an article gets read and spread.</w:t>
      </w:r>
      <w:r w:rsidR="00CC1243">
        <w:rPr>
          <w:rStyle w:val="FootnoteReference"/>
        </w:rPr>
        <w:footnoteReference w:id="162"/>
      </w:r>
      <w:r w:rsidR="00CC1243">
        <w:t xml:space="preserve"> Headlines are also predisposed to cut corners, as caveats don’t easily fit into a single line of text.</w:t>
      </w:r>
      <w:r w:rsidR="00CC1243">
        <w:rPr>
          <w:rStyle w:val="FootnoteReference"/>
        </w:rPr>
        <w:footnoteReference w:id="163"/>
      </w:r>
      <w:r w:rsidR="00CC1243">
        <w:t xml:space="preserve"> In one headline study, authors found that “a headline amplifying the opinion of a nonexpert citizen made readers more concerned about the safety of GM food and water fluoridation, despite receiving the identical information containing expert advice arguing for the safety of these practices.”</w:t>
      </w:r>
      <w:r w:rsidR="00303FE2">
        <w:rPr>
          <w:rStyle w:val="FootnoteReference"/>
        </w:rPr>
        <w:footnoteReference w:id="164"/>
      </w:r>
      <w:r w:rsidR="00303FE2">
        <w:t xml:space="preserve"> The authors further expressed that this was a “worrying implication from our research, which is particularly concerning given the generally decreasing trust in science experts among segments of the public.”</w:t>
      </w:r>
      <w:r w:rsidR="00303FE2">
        <w:rPr>
          <w:rStyle w:val="FootnoteReference"/>
        </w:rPr>
        <w:footnoteReference w:id="165"/>
      </w:r>
      <w:r w:rsidR="0046428B">
        <w:t xml:space="preserve"> Individuals sharing information amplifies the problem. </w:t>
      </w:r>
      <w:r w:rsidR="00110D65">
        <w:t>When individuals share information, six in ten of online readers are willing to share a link to an article without reading the article itself.</w:t>
      </w:r>
      <w:bookmarkStart w:id="27" w:name="_Ref535501205"/>
      <w:r w:rsidR="00110D65">
        <w:rPr>
          <w:rStyle w:val="FootnoteReference"/>
        </w:rPr>
        <w:footnoteReference w:id="166"/>
      </w:r>
      <w:bookmarkEnd w:id="27"/>
      <w:r w:rsidR="00110D65">
        <w:t xml:space="preserve"> </w:t>
      </w:r>
      <w:r w:rsidR="0046428B">
        <w:t xml:space="preserve">This makes the headline even more </w:t>
      </w:r>
      <w:r w:rsidR="004A649E">
        <w:t>influential</w:t>
      </w:r>
      <w:r w:rsidR="0046428B">
        <w:t xml:space="preserve"> as information is shared in social media and repeated elsewhere online.</w:t>
      </w:r>
      <w:r>
        <w:t xml:space="preserve"> As the Press Release highlights, crafting an online headline is a high-stakes decision, and it must be written with commiserate care.</w:t>
      </w:r>
    </w:p>
    <w:p w14:paraId="092AC851" w14:textId="4953704A" w:rsidR="0041382A" w:rsidRDefault="0041382A" w:rsidP="00225342"/>
    <w:p w14:paraId="114D6B55" w14:textId="2B176958" w:rsidR="0041382A" w:rsidRPr="004400EF" w:rsidRDefault="0041382A" w:rsidP="0041382A">
      <w:pPr>
        <w:rPr>
          <w:i/>
        </w:rPr>
      </w:pPr>
      <w:r>
        <w:rPr>
          <w:i/>
        </w:rPr>
        <w:t>C</w:t>
      </w:r>
      <w:r w:rsidRPr="004400EF">
        <w:rPr>
          <w:i/>
        </w:rPr>
        <w:t xml:space="preserve">. </w:t>
      </w:r>
      <w:r>
        <w:rPr>
          <w:i/>
        </w:rPr>
        <w:t>Does the Press Release’s Source Support its Claim?</w:t>
      </w:r>
    </w:p>
    <w:p w14:paraId="6C18BF4A" w14:textId="43D0F565" w:rsidR="007038D1" w:rsidRDefault="007038D1" w:rsidP="007038D1"/>
    <w:p w14:paraId="59CF846F" w14:textId="43E1A45D" w:rsidR="0081415D" w:rsidRDefault="008C69AC" w:rsidP="00742B0D">
      <w:r>
        <w:t>The goal of a press release is to summarize and publicize an important finding or event for further republication by media.</w:t>
      </w:r>
      <w:bookmarkStart w:id="28" w:name="_Ref535500042"/>
      <w:r>
        <w:rPr>
          <w:rStyle w:val="FootnoteReference"/>
        </w:rPr>
        <w:footnoteReference w:id="167"/>
      </w:r>
      <w:bookmarkEnd w:id="28"/>
      <w:r w:rsidR="00493732">
        <w:t xml:space="preserve"> Most press releases lack an independent claim other than that asserted by the described subject.</w:t>
      </w:r>
      <w:r w:rsidR="009E08F9">
        <w:t xml:space="preserve"> In spite of this, information transmission can still break down. </w:t>
      </w:r>
      <w:r w:rsidR="00742B0D">
        <w:t xml:space="preserve">Reading scientific studies can be difficult for the layperson, and </w:t>
      </w:r>
      <w:r w:rsidR="009765BA">
        <w:t>comprehension has</w:t>
      </w:r>
      <w:r w:rsidR="00742B0D">
        <w:t xml:space="preserve"> become </w:t>
      </w:r>
      <w:r w:rsidR="009765BA">
        <w:t>increasingly</w:t>
      </w:r>
      <w:r w:rsidR="00742B0D">
        <w:t xml:space="preserve"> difficult </w:t>
      </w:r>
      <w:r w:rsidR="009765BA">
        <w:t>even for experts</w:t>
      </w:r>
      <w:r w:rsidR="00742B0D">
        <w:t>.</w:t>
      </w:r>
      <w:r w:rsidR="00742B0D">
        <w:rPr>
          <w:rStyle w:val="FootnoteReference"/>
        </w:rPr>
        <w:footnoteReference w:id="168"/>
      </w:r>
      <w:r w:rsidR="00742B0D">
        <w:t xml:space="preserve"> The use of scientific jargon in research is a persistent challenge,</w:t>
      </w:r>
      <w:r w:rsidR="00742B0D">
        <w:rPr>
          <w:rStyle w:val="FootnoteReference"/>
        </w:rPr>
        <w:footnoteReference w:id="169"/>
      </w:r>
      <w:r w:rsidR="00742B0D">
        <w:t xml:space="preserve"> and facilitates ready </w:t>
      </w:r>
      <w:r w:rsidR="00742B0D">
        <w:lastRenderedPageBreak/>
        <w:t>misinterpretation of scientific works.</w:t>
      </w:r>
      <w:r w:rsidR="00252ADC">
        <w:t xml:space="preserve"> Miscommunication can also </w:t>
      </w:r>
      <w:r w:rsidR="0081415D">
        <w:t>arise</w:t>
      </w:r>
      <w:r w:rsidR="00252ADC">
        <w:t xml:space="preserve"> between scientists and scientific writer, as meaning is lost in translation </w:t>
      </w:r>
      <w:r w:rsidR="0081415D">
        <w:t xml:space="preserve">from original research </w:t>
      </w:r>
      <w:r w:rsidR="00252ADC">
        <w:t>to public article.</w:t>
      </w:r>
      <w:r w:rsidR="00252ADC">
        <w:rPr>
          <w:rStyle w:val="FootnoteReference"/>
        </w:rPr>
        <w:footnoteReference w:id="170"/>
      </w:r>
      <w:r w:rsidR="0081415D">
        <w:t xml:space="preserve"> </w:t>
      </w:r>
    </w:p>
    <w:p w14:paraId="53E90E3E" w14:textId="77777777" w:rsidR="0081415D" w:rsidRDefault="0081415D" w:rsidP="00742B0D"/>
    <w:p w14:paraId="0C6F6E1A" w14:textId="3A15D6EB" w:rsidR="00577AAF" w:rsidRDefault="0081415D" w:rsidP="00225342">
      <w:r>
        <w:t>None of these issues</w:t>
      </w:r>
      <w:r w:rsidR="009E08F9">
        <w:t xml:space="preserve"> should be present here, as the co-author of the press release </w:t>
      </w:r>
      <w:r w:rsidR="00CB2129">
        <w:t>and the</w:t>
      </w:r>
      <w:r>
        <w:t xml:space="preserve"> lead author of the study </w:t>
      </w:r>
      <w:r w:rsidR="009E08F9">
        <w:t>summarized</w:t>
      </w:r>
      <w:r w:rsidR="00CB2129">
        <w:t xml:space="preserve"> are the same person</w:t>
      </w:r>
      <w:r>
        <w:t>.</w:t>
      </w:r>
      <w:r w:rsidR="00AF3D5F">
        <w:rPr>
          <w:rStyle w:val="FootnoteReference"/>
        </w:rPr>
        <w:footnoteReference w:id="171"/>
      </w:r>
      <w:r>
        <w:t xml:space="preserve"> </w:t>
      </w:r>
      <w:r w:rsidR="009E08F9">
        <w:t>In spite of this, an information gap still exists between press release and its source</w:t>
      </w:r>
      <w:r w:rsidR="00CB2129">
        <w:t xml:space="preserve">, and once again the issue is with its title. </w:t>
      </w:r>
      <w:r w:rsidR="00225342">
        <w:t xml:space="preserve">The </w:t>
      </w:r>
      <w:r w:rsidR="00570DDB">
        <w:t xml:space="preserve">title of </w:t>
      </w:r>
      <w:r w:rsidR="00FA29E3">
        <w:t xml:space="preserve">the </w:t>
      </w:r>
      <w:r w:rsidR="00E52733">
        <w:t>Press Release</w:t>
      </w:r>
      <w:r w:rsidR="00225342">
        <w:t xml:space="preserve"> claims that the study “links autism with industrial food, environment.”</w:t>
      </w:r>
      <w:r w:rsidR="00225342">
        <w:rPr>
          <w:rStyle w:val="FootnoteReference"/>
        </w:rPr>
        <w:footnoteReference w:id="172"/>
      </w:r>
      <w:r w:rsidR="00225342">
        <w:t xml:space="preserve"> </w:t>
      </w:r>
      <w:r w:rsidR="005937A1">
        <w:t>The title</w:t>
      </w:r>
      <w:r w:rsidR="00225342">
        <w:t xml:space="preserve"> </w:t>
      </w:r>
      <w:r w:rsidR="00CB2129">
        <w:t xml:space="preserve">non-misleadingly represents its source </w:t>
      </w:r>
      <w:r w:rsidR="00225342">
        <w:t xml:space="preserve">if one </w:t>
      </w:r>
      <w:r w:rsidR="007F0DD8">
        <w:t>stretches</w:t>
      </w:r>
      <w:r w:rsidR="00B37BD6">
        <w:t xml:space="preserve"> </w:t>
      </w:r>
      <w:r w:rsidR="00CB2129">
        <w:t xml:space="preserve">the meaning </w:t>
      </w:r>
      <w:r w:rsidR="00B37BD6">
        <w:t xml:space="preserve">the word “link” </w:t>
      </w:r>
      <w:r w:rsidR="00CB2129">
        <w:t>almost</w:t>
      </w:r>
      <w:r w:rsidR="00684953">
        <w:t xml:space="preserve"> beyond recognition</w:t>
      </w:r>
      <w:r w:rsidR="00B37BD6">
        <w:t>.</w:t>
      </w:r>
      <w:r w:rsidR="00225342">
        <w:t xml:space="preserve"> </w:t>
      </w:r>
      <w:r w:rsidR="00CB2129">
        <w:t xml:space="preserve">The study examines HFCS and various individual elements. </w:t>
      </w:r>
      <w:r w:rsidR="000D6FFD">
        <w:t>This</w:t>
      </w:r>
      <w:r w:rsidR="00225342">
        <w:t xml:space="preserve"> is not the same as industrial food. </w:t>
      </w:r>
      <w:r w:rsidR="000D6FFD">
        <w:t xml:space="preserve">For example, </w:t>
      </w:r>
      <w:r w:rsidR="00225342">
        <w:t>HFCS is a liquid sweetener invented in the 1970s that gained prominence in industry.</w:t>
      </w:r>
      <w:r w:rsidR="00225342">
        <w:rPr>
          <w:rStyle w:val="FootnoteReference"/>
        </w:rPr>
        <w:footnoteReference w:id="173"/>
      </w:r>
      <w:r w:rsidR="00225342">
        <w:t xml:space="preserve"> Industrial food is considered to be a network of agribusinesses and large farms that specialize in mass production of just one or two crops and focus on specialization and uniformity.</w:t>
      </w:r>
      <w:r w:rsidR="00225342">
        <w:rPr>
          <w:rStyle w:val="FootnoteReference"/>
        </w:rPr>
        <w:footnoteReference w:id="174"/>
      </w:r>
      <w:r w:rsidR="00225342">
        <w:t xml:space="preserve"> Not all HFCS products originate from industrial food, and not all industrial food contains HFCS. Conclusions about a single ingredient </w:t>
      </w:r>
      <w:r w:rsidR="000D6FFD">
        <w:t xml:space="preserve">in tandem with individual elements </w:t>
      </w:r>
      <w:r w:rsidR="00225342">
        <w:t xml:space="preserve">cannot paint an entire system of food production. The title in the </w:t>
      </w:r>
      <w:r w:rsidR="005937A1">
        <w:t>Press Release</w:t>
      </w:r>
      <w:r w:rsidR="00225342">
        <w:t xml:space="preserve"> implies a much broader assertion than the </w:t>
      </w:r>
      <w:r w:rsidR="005937A1">
        <w:t>study it summarizes</w:t>
      </w:r>
      <w:r w:rsidR="00225342">
        <w:t xml:space="preserve"> </w:t>
      </w:r>
      <w:r w:rsidR="005937A1">
        <w:t>actually claims</w:t>
      </w:r>
      <w:r w:rsidR="00225342">
        <w:t xml:space="preserve">. To an uneducated reader, or perhaps even an educated one, the “link” could be interpreted as an uncovered causal relation. No such </w:t>
      </w:r>
      <w:r w:rsidR="00684953">
        <w:t>‘</w:t>
      </w:r>
      <w:r w:rsidR="00225342">
        <w:t>link</w:t>
      </w:r>
      <w:r w:rsidR="00684953">
        <w:t>’</w:t>
      </w:r>
      <w:r w:rsidR="00225342">
        <w:t xml:space="preserve"> exists, inviting the reader to believe a more robust connection exists than is warranted by the scientific evidence.</w:t>
      </w:r>
      <w:r w:rsidR="00577AAF">
        <w:t xml:space="preserve"> </w:t>
      </w:r>
      <w:r w:rsidR="008960BC">
        <w:t xml:space="preserve">The sub-title to the </w:t>
      </w:r>
      <w:r w:rsidR="00E52733">
        <w:t>Press Release</w:t>
      </w:r>
      <w:r w:rsidR="008960BC">
        <w:t>, “New Research Models Real-World Exposures to Environmental Cause of A</w:t>
      </w:r>
      <w:r w:rsidR="008960BC" w:rsidRPr="008960BC">
        <w:t>utism</w:t>
      </w:r>
      <w:r w:rsidR="008960BC">
        <w:t>,” is more realistic.</w:t>
      </w:r>
      <w:r w:rsidR="006A7170">
        <w:rPr>
          <w:rStyle w:val="FootnoteReference"/>
        </w:rPr>
        <w:footnoteReference w:id="175"/>
      </w:r>
    </w:p>
    <w:p w14:paraId="176AA362" w14:textId="7DA1010A" w:rsidR="00110D65" w:rsidRDefault="00110D65" w:rsidP="00225342"/>
    <w:p w14:paraId="58B898AD" w14:textId="63B306FA" w:rsidR="00DD2847" w:rsidRDefault="00684953" w:rsidP="00225342">
      <w:r>
        <w:t xml:space="preserve">It is difficult to discern the cause of the information distortion between study and press release. When scientists write their own press releases, it should help </w:t>
      </w:r>
      <w:r w:rsidR="006639B8">
        <w:t xml:space="preserve">to </w:t>
      </w:r>
      <w:r>
        <w:t>“ensure that their research is reasonably explained.”</w:t>
      </w:r>
      <w:r>
        <w:rPr>
          <w:rStyle w:val="FootnoteReference"/>
        </w:rPr>
        <w:footnoteReference w:id="176"/>
      </w:r>
      <w:r w:rsidR="00FE618C">
        <w:t xml:space="preserve"> </w:t>
      </w:r>
      <w:r w:rsidR="00DB7541">
        <w:t>I</w:t>
      </w:r>
      <w:r w:rsidR="00FE618C">
        <w:t xml:space="preserve">n this case </w:t>
      </w:r>
      <w:r w:rsidR="00AF3D5F">
        <w:t>an information gap</w:t>
      </w:r>
      <w:r w:rsidR="00FE618C">
        <w:t xml:space="preserve"> still appeared. </w:t>
      </w:r>
      <w:r w:rsidR="00DD2847">
        <w:t xml:space="preserve">This information gap has </w:t>
      </w:r>
      <w:r w:rsidR="001C5A35">
        <w:t>spread</w:t>
      </w:r>
      <w:r w:rsidR="00DD2847">
        <w:t xml:space="preserve"> to a number of websites that republished </w:t>
      </w:r>
      <w:r w:rsidR="00962B60">
        <w:t xml:space="preserve">or re-summarized </w:t>
      </w:r>
      <w:r w:rsidR="00DD2847">
        <w:t xml:space="preserve">the press release without </w:t>
      </w:r>
      <w:r w:rsidR="00846CEC">
        <w:t xml:space="preserve">noting the </w:t>
      </w:r>
      <w:r w:rsidR="00962B60">
        <w:t>more limited</w:t>
      </w:r>
      <w:r w:rsidR="00846CEC">
        <w:t xml:space="preserve"> scope of</w:t>
      </w:r>
      <w:r w:rsidR="00DD2847">
        <w:t xml:space="preserve"> </w:t>
      </w:r>
      <w:r w:rsidR="00846CEC">
        <w:t xml:space="preserve">the </w:t>
      </w:r>
      <w:r w:rsidR="00DD2847">
        <w:t>underlying paper.</w:t>
      </w:r>
      <w:bookmarkStart w:id="29" w:name="_Ref535334224"/>
      <w:r w:rsidR="00DD2847">
        <w:rPr>
          <w:rStyle w:val="FootnoteReference"/>
        </w:rPr>
        <w:footnoteReference w:id="177"/>
      </w:r>
      <w:bookmarkEnd w:id="29"/>
      <w:r w:rsidR="001C5A35">
        <w:t xml:space="preserve"> As a result, a study creating an approach to identify factors responsible for the incidences of autism </w:t>
      </w:r>
      <w:r w:rsidR="005A4A4A">
        <w:t>can be</w:t>
      </w:r>
      <w:r w:rsidR="001C5A35">
        <w:t xml:space="preserve"> </w:t>
      </w:r>
      <w:r w:rsidR="005A4A4A">
        <w:t>perceived</w:t>
      </w:r>
      <w:r w:rsidR="001C5A35">
        <w:t xml:space="preserve"> by the casual reader as original research finding that </w:t>
      </w:r>
      <w:r w:rsidR="00962B60">
        <w:t xml:space="preserve">in part </w:t>
      </w:r>
      <w:r w:rsidR="001C5A35">
        <w:t xml:space="preserve">autism is caused by consumption of industrial food and exposure to </w:t>
      </w:r>
      <w:r w:rsidR="00962B60">
        <w:t>the environment.</w:t>
      </w:r>
    </w:p>
    <w:p w14:paraId="09FD9657" w14:textId="77777777" w:rsidR="00AF3D5F" w:rsidRDefault="00AF3D5F" w:rsidP="00225342"/>
    <w:p w14:paraId="3965565A" w14:textId="5F003B4D" w:rsidR="00FE618C" w:rsidRDefault="00FE618C" w:rsidP="00225342">
      <w:r>
        <w:t xml:space="preserve">Scientists and other </w:t>
      </w:r>
      <w:r w:rsidR="00D71D93">
        <w:t>writers</w:t>
      </w:r>
      <w:r>
        <w:t xml:space="preserve"> </w:t>
      </w:r>
      <w:r w:rsidR="00DB7541">
        <w:t>could</w:t>
      </w:r>
      <w:r>
        <w:t xml:space="preserve"> receive better training in and more thoughtfully appreciate writing of press releases</w:t>
      </w:r>
      <w:r w:rsidR="006C5A07">
        <w:t>,</w:t>
      </w:r>
      <w:r>
        <w:rPr>
          <w:rStyle w:val="FootnoteReference"/>
        </w:rPr>
        <w:footnoteReference w:id="178"/>
      </w:r>
      <w:r w:rsidR="00DB7541">
        <w:t xml:space="preserve"> </w:t>
      </w:r>
      <w:r w:rsidR="006C5A07">
        <w:t xml:space="preserve">but the problem might be more fundamental. Scientists are under </w:t>
      </w:r>
      <w:r w:rsidR="003278EE">
        <w:t>in</w:t>
      </w:r>
      <w:r w:rsidR="006C5A07">
        <w:t>creasing pressure to compete for shrinking amounts of government funding.</w:t>
      </w:r>
      <w:r w:rsidR="006C5A07">
        <w:rPr>
          <w:rStyle w:val="FootnoteReference"/>
        </w:rPr>
        <w:footnoteReference w:id="179"/>
      </w:r>
      <w:r w:rsidR="00DB7541">
        <w:t xml:space="preserve"> </w:t>
      </w:r>
      <w:r w:rsidR="006C5A07">
        <w:t>Temptations may increase to overstate the consequences of their work.</w:t>
      </w:r>
      <w:r w:rsidR="006C5A07">
        <w:rPr>
          <w:rStyle w:val="FootnoteReference"/>
        </w:rPr>
        <w:footnoteReference w:id="180"/>
      </w:r>
      <w:r w:rsidR="006C5A07">
        <w:t xml:space="preserve"> Overstating the implications of one’s work helps generate badly needed publicity which can help support the ability to obtain further grants.</w:t>
      </w:r>
      <w:r w:rsidR="006C5A07">
        <w:rPr>
          <w:rStyle w:val="FootnoteReference"/>
        </w:rPr>
        <w:footnoteReference w:id="181"/>
      </w:r>
      <w:r w:rsidR="006C5A07">
        <w:t xml:space="preserve"> The greater the pressure to perform placed upon scientific researchers, the more likely it may be that scientists cut corners to achieve desired goals.</w:t>
      </w:r>
      <w:r w:rsidR="005A4A4A">
        <w:t xml:space="preserve"> </w:t>
      </w:r>
    </w:p>
    <w:p w14:paraId="68CFAE91" w14:textId="77777777" w:rsidR="00FE618C" w:rsidRDefault="00FE618C" w:rsidP="00225342"/>
    <w:p w14:paraId="44B95C6A" w14:textId="018E9233" w:rsidR="00684953" w:rsidRDefault="00D71D93" w:rsidP="00225342">
      <w:r>
        <w:t xml:space="preserve">Given the gap between press release and its source, it will be worthwhile to observe the veracity of the underlying </w:t>
      </w:r>
      <w:r w:rsidR="008D0EF8">
        <w:t>scientific paper</w:t>
      </w:r>
      <w:r>
        <w:t xml:space="preserve"> in use of its own sources.</w:t>
      </w:r>
      <w:r w:rsidR="008D0EF8">
        <w:t xml:space="preserve"> This next Part examines the scientific paper in more depth.</w:t>
      </w:r>
    </w:p>
    <w:p w14:paraId="0C6325DE" w14:textId="77777777" w:rsidR="00075A82" w:rsidRDefault="00075A82"/>
    <w:p w14:paraId="11446870" w14:textId="77777777" w:rsidR="0079497B" w:rsidRDefault="0079497B"/>
    <w:p w14:paraId="0049FFEC" w14:textId="13772474" w:rsidR="004C2783" w:rsidRDefault="00225342" w:rsidP="0099427E">
      <w:pPr>
        <w:rPr>
          <w:b/>
        </w:rPr>
      </w:pPr>
      <w:r w:rsidRPr="00E91BB9">
        <w:rPr>
          <w:b/>
        </w:rPr>
        <w:t>V</w:t>
      </w:r>
      <w:r w:rsidR="0099427E" w:rsidRPr="00E91BB9">
        <w:rPr>
          <w:b/>
        </w:rPr>
        <w:t xml:space="preserve">. The Review – </w:t>
      </w:r>
      <w:r w:rsidR="00D258BF">
        <w:rPr>
          <w:b/>
        </w:rPr>
        <w:t>‘</w:t>
      </w:r>
      <w:r w:rsidR="0099427E" w:rsidRPr="00E91BB9">
        <w:rPr>
          <w:b/>
        </w:rPr>
        <w:t>A</w:t>
      </w:r>
      <w:r w:rsidR="000D6FFD">
        <w:rPr>
          <w:b/>
        </w:rPr>
        <w:t>n Approach for Determining Factors Responsible for Autism</w:t>
      </w:r>
      <w:r w:rsidR="00D258BF">
        <w:rPr>
          <w:b/>
        </w:rPr>
        <w:t>’</w:t>
      </w:r>
    </w:p>
    <w:p w14:paraId="3CAC336D" w14:textId="77777777" w:rsidR="004C2783" w:rsidRDefault="004C2783" w:rsidP="0099427E">
      <w:pPr>
        <w:rPr>
          <w:b/>
        </w:rPr>
      </w:pPr>
    </w:p>
    <w:p w14:paraId="576CF592" w14:textId="3A659EFE" w:rsidR="0099427E" w:rsidRPr="00E91BB9" w:rsidRDefault="0099427E" w:rsidP="0099427E">
      <w:r w:rsidRPr="00E91BB9">
        <w:rPr>
          <w:i/>
        </w:rPr>
        <w:t xml:space="preserve">A. </w:t>
      </w:r>
      <w:r w:rsidR="00410193">
        <w:rPr>
          <w:i/>
        </w:rPr>
        <w:t>Claims of the Review</w:t>
      </w:r>
      <w:r w:rsidRPr="00E91BB9">
        <w:rPr>
          <w:i/>
        </w:rPr>
        <w:br/>
      </w:r>
    </w:p>
    <w:p w14:paraId="313D2A2D" w14:textId="6DF3A150" w:rsidR="006E5662" w:rsidRDefault="007C1291" w:rsidP="007C1291">
      <w:r>
        <w:t xml:space="preserve">The </w:t>
      </w:r>
      <w:r w:rsidR="00667909">
        <w:t>Press Release</w:t>
      </w:r>
      <w:r>
        <w:t xml:space="preserve"> summarized a review titled, “</w:t>
      </w:r>
      <w:r w:rsidRPr="0049025D">
        <w:rPr>
          <w:i/>
        </w:rPr>
        <w:t xml:space="preserve">A </w:t>
      </w:r>
      <w:proofErr w:type="spellStart"/>
      <w:r w:rsidRPr="0049025D">
        <w:rPr>
          <w:i/>
        </w:rPr>
        <w:t>Macroepigenetic</w:t>
      </w:r>
      <w:proofErr w:type="spellEnd"/>
      <w:r w:rsidRPr="0049025D">
        <w:rPr>
          <w:i/>
        </w:rPr>
        <w:t xml:space="preserve"> Approach to Identify Factors Responsible for the Autism Epidemic in the United States</w:t>
      </w:r>
      <w:r>
        <w:t xml:space="preserve">” (Review), published in the journal </w:t>
      </w:r>
      <w:r>
        <w:rPr>
          <w:i/>
        </w:rPr>
        <w:t>Clinical Epigenetics.</w:t>
      </w:r>
      <w:bookmarkStart w:id="30" w:name="_Ref535249663"/>
      <w:r>
        <w:rPr>
          <w:rStyle w:val="FootnoteReference"/>
        </w:rPr>
        <w:footnoteReference w:id="182"/>
      </w:r>
      <w:bookmarkEnd w:id="30"/>
      <w:r>
        <w:t xml:space="preserve"> The Review’s lead author </w:t>
      </w:r>
      <w:r w:rsidR="004972B5">
        <w:t xml:space="preserve">is </w:t>
      </w:r>
      <w:r>
        <w:t>a former FDA scientist and whistleblower</w:t>
      </w:r>
      <w:r w:rsidR="00320D7F">
        <w:t>,</w:t>
      </w:r>
      <w:r>
        <w:rPr>
          <w:rStyle w:val="FootnoteReference"/>
        </w:rPr>
        <w:footnoteReference w:id="183"/>
      </w:r>
      <w:r>
        <w:t xml:space="preserve"> credited with uncovering </w:t>
      </w:r>
      <w:r w:rsidR="003B222E">
        <w:t xml:space="preserve">traces of </w:t>
      </w:r>
      <w:r>
        <w:t>mercury in a variety of household products containing HFCS.</w:t>
      </w:r>
      <w:r>
        <w:rPr>
          <w:rStyle w:val="FootnoteReference"/>
        </w:rPr>
        <w:footnoteReference w:id="184"/>
      </w:r>
    </w:p>
    <w:p w14:paraId="016B2DDF" w14:textId="77777777" w:rsidR="006E5662" w:rsidRDefault="006E5662" w:rsidP="007C1291"/>
    <w:p w14:paraId="69A361E7" w14:textId="1287DE63" w:rsidR="007C1291" w:rsidRDefault="004972B5" w:rsidP="007C1291">
      <w:r>
        <w:t xml:space="preserve">The Review </w:t>
      </w:r>
      <w:r w:rsidR="00BF79FC">
        <w:t>states</w:t>
      </w:r>
      <w:r>
        <w:t xml:space="preserve"> that a plausible explanation for the rise in autism cases may be found in the U.S. food supply.</w:t>
      </w:r>
      <w:r>
        <w:rPr>
          <w:rStyle w:val="FootnoteReference"/>
        </w:rPr>
        <w:footnoteReference w:id="185"/>
      </w:r>
      <w:r w:rsidR="00BF79FC">
        <w:t xml:space="preserve"> To back this claim, t</w:t>
      </w:r>
      <w:r w:rsidR="00254199">
        <w:t>he Review proposes a “Revised Mercury Toxicity Model.”</w:t>
      </w:r>
      <w:r w:rsidR="00254199">
        <w:rPr>
          <w:rStyle w:val="FootnoteReference"/>
        </w:rPr>
        <w:footnoteReference w:id="186"/>
      </w:r>
      <w:r w:rsidR="00254199">
        <w:t xml:space="preserve"> </w:t>
      </w:r>
      <w:r w:rsidR="00BF79FC">
        <w:t xml:space="preserve">The model is </w:t>
      </w:r>
      <w:r w:rsidR="005D20B7">
        <w:t>intricate</w:t>
      </w:r>
      <w:r w:rsidR="00BF79FC">
        <w:t xml:space="preserve">, with numerous factors and pathways showing how various elements and minerals ultimately </w:t>
      </w:r>
      <w:r w:rsidR="00BF79FC">
        <w:lastRenderedPageBreak/>
        <w:t>influence neuronal functioning and plasticity in children.</w:t>
      </w:r>
      <w:r w:rsidR="005F7634">
        <w:t xml:space="preserve"> </w:t>
      </w:r>
      <w:r w:rsidR="00254199">
        <w:t>Through this model, t</w:t>
      </w:r>
      <w:r w:rsidR="00F8313D">
        <w:t xml:space="preserve">he Review </w:t>
      </w:r>
      <w:r w:rsidR="00320D7F">
        <w:t>claims</w:t>
      </w:r>
      <w:r w:rsidR="005F7634">
        <w:t xml:space="preserve"> </w:t>
      </w:r>
      <w:r w:rsidR="007C1291">
        <w:t xml:space="preserve">pathways </w:t>
      </w:r>
      <w:r w:rsidR="00320D7F">
        <w:t>by which</w:t>
      </w:r>
      <w:r w:rsidR="007C1291">
        <w:t xml:space="preserve"> HFCS </w:t>
      </w:r>
      <w:r w:rsidR="00320D7F">
        <w:t>could increase</w:t>
      </w:r>
      <w:r w:rsidR="007C1291">
        <w:t xml:space="preserve"> the risk of developing autism.</w:t>
      </w:r>
      <w:r w:rsidR="007C1291">
        <w:rPr>
          <w:rStyle w:val="FootnoteReference"/>
        </w:rPr>
        <w:footnoteReference w:id="187"/>
      </w:r>
      <w:r w:rsidR="007C1291">
        <w:t xml:space="preserve"> </w:t>
      </w:r>
      <w:r w:rsidR="005F7634">
        <w:t>One such</w:t>
      </w:r>
      <w:r w:rsidR="007C1291">
        <w:t xml:space="preserve"> pathway begins with consumption of mercury through dental amalgam, vaccines, food colors, </w:t>
      </w:r>
      <w:r w:rsidR="009765BA">
        <w:t>environmental exposure</w:t>
      </w:r>
      <w:r w:rsidR="007C1291">
        <w:t>, and HFCS.</w:t>
      </w:r>
      <w:r w:rsidR="007C1291">
        <w:rPr>
          <w:rStyle w:val="FootnoteReference"/>
        </w:rPr>
        <w:footnoteReference w:id="188"/>
      </w:r>
      <w:r w:rsidR="007C1291">
        <w:t xml:space="preserve"> According to the model, after mercury is consumed, and when an individual’s magnesium levels are low, HFCS consumption leads to “mineral imbalances.”</w:t>
      </w:r>
      <w:r w:rsidR="007C1291">
        <w:rPr>
          <w:rStyle w:val="FootnoteReference"/>
        </w:rPr>
        <w:footnoteReference w:id="189"/>
      </w:r>
      <w:r w:rsidR="007C1291">
        <w:t xml:space="preserve"> These mineral imbalances, including the loss of zinc, calcium, and phosphorous, and an increase in copper, create pathways oxidative stress.</w:t>
      </w:r>
      <w:r w:rsidR="007C1291">
        <w:rPr>
          <w:rStyle w:val="FootnoteReference"/>
        </w:rPr>
        <w:footnoteReference w:id="190"/>
      </w:r>
      <w:r w:rsidR="007C1291">
        <w:t xml:space="preserve"> That stress, combined with </w:t>
      </w:r>
      <w:r w:rsidR="009765BA">
        <w:t xml:space="preserve">exposure to other elements, </w:t>
      </w:r>
      <w:r w:rsidR="007C1291">
        <w:t>reduce neuroplasticity and learning capacity in autistic children.</w:t>
      </w:r>
      <w:r w:rsidR="007C1291">
        <w:rPr>
          <w:rStyle w:val="FootnoteReference"/>
        </w:rPr>
        <w:footnoteReference w:id="191"/>
      </w:r>
    </w:p>
    <w:p w14:paraId="37BA9222" w14:textId="77777777" w:rsidR="009C0BF2" w:rsidRDefault="009C0BF2" w:rsidP="0099427E">
      <w:pPr>
        <w:rPr>
          <w:i/>
        </w:rPr>
      </w:pPr>
    </w:p>
    <w:p w14:paraId="5C4DA851" w14:textId="314FD6CA" w:rsidR="0099427E" w:rsidRPr="00E05226" w:rsidRDefault="005F7634" w:rsidP="0099427E">
      <w:pPr>
        <w:rPr>
          <w:i/>
        </w:rPr>
      </w:pPr>
      <w:r>
        <w:rPr>
          <w:i/>
        </w:rPr>
        <w:t>B</w:t>
      </w:r>
      <w:r w:rsidR="0099427E" w:rsidRPr="00E05226">
        <w:rPr>
          <w:i/>
        </w:rPr>
        <w:t xml:space="preserve">. </w:t>
      </w:r>
      <w:r w:rsidR="005D20B7">
        <w:rPr>
          <w:i/>
        </w:rPr>
        <w:t xml:space="preserve">Does the </w:t>
      </w:r>
      <w:r w:rsidR="00D258BF">
        <w:rPr>
          <w:i/>
        </w:rPr>
        <w:t>Review</w:t>
      </w:r>
      <w:r w:rsidR="005D20B7">
        <w:rPr>
          <w:i/>
        </w:rPr>
        <w:t xml:space="preserve"> Potentially Miscommunicate</w:t>
      </w:r>
      <w:r w:rsidR="00D258BF">
        <w:rPr>
          <w:i/>
        </w:rPr>
        <w:t xml:space="preserve"> Science</w:t>
      </w:r>
      <w:r w:rsidR="005D20B7">
        <w:rPr>
          <w:i/>
        </w:rPr>
        <w:t>?</w:t>
      </w:r>
    </w:p>
    <w:p w14:paraId="2A3F056B" w14:textId="0F441C67" w:rsidR="0099427E" w:rsidRDefault="0099427E"/>
    <w:p w14:paraId="1CCD9B2F" w14:textId="7184F209" w:rsidR="00BB7151" w:rsidRDefault="00A65AA7" w:rsidP="007C1291">
      <w:r>
        <w:t xml:space="preserve">Although the review is a scientific study rather than repeater of another work, there are potential problems of miscommunication. The first is that the publication can </w:t>
      </w:r>
      <w:r w:rsidR="00162A99">
        <w:t xml:space="preserve">be </w:t>
      </w:r>
      <w:r>
        <w:t xml:space="preserve">misinterpreted as </w:t>
      </w:r>
      <w:r w:rsidR="00426220">
        <w:t xml:space="preserve">original </w:t>
      </w:r>
      <w:r w:rsidR="001B7E56">
        <w:t xml:space="preserve">data-driven </w:t>
      </w:r>
      <w:r w:rsidR="00426220">
        <w:t>scientific research</w:t>
      </w:r>
      <w:r w:rsidR="001B7E56">
        <w:t>.</w:t>
      </w:r>
      <w:r w:rsidR="00BB7151">
        <w:t xml:space="preserve"> </w:t>
      </w:r>
      <w:r w:rsidR="00EE0AA0">
        <w:t>Similar to</w:t>
      </w:r>
      <w:r w:rsidR="004E68CB">
        <w:t xml:space="preserve"> Notes, Articles, </w:t>
      </w:r>
      <w:r w:rsidR="003A365F">
        <w:t>Essays, and</w:t>
      </w:r>
      <w:r w:rsidR="004E68CB">
        <w:t xml:space="preserve"> </w:t>
      </w:r>
      <w:r w:rsidR="003A365F">
        <w:t>Comments in law reviews, scientific publications have their own terminology classifying the nature and scope of various works. The Review discussed here is classified as</w:t>
      </w:r>
      <w:r w:rsidR="001B7E56">
        <w:t xml:space="preserve"> </w:t>
      </w:r>
      <w:r w:rsidR="003A365F">
        <w:t xml:space="preserve">just that – a review. </w:t>
      </w:r>
      <w:r w:rsidR="007C1291">
        <w:t xml:space="preserve">According to </w:t>
      </w:r>
      <w:r w:rsidR="007C1291">
        <w:rPr>
          <w:i/>
        </w:rPr>
        <w:t>Clinical Epigenetics</w:t>
      </w:r>
      <w:r w:rsidR="007C1291">
        <w:t xml:space="preserve">, </w:t>
      </w:r>
      <w:r w:rsidR="003A365F">
        <w:t xml:space="preserve">the journal that published the Review, </w:t>
      </w:r>
      <w:r w:rsidR="007C1291">
        <w:t>a review is a “</w:t>
      </w:r>
      <w:proofErr w:type="spellStart"/>
      <w:r w:rsidR="007C1291">
        <w:t>summar</w:t>
      </w:r>
      <w:proofErr w:type="spellEnd"/>
      <w:r w:rsidR="007C1291">
        <w:t xml:space="preserve">[y] of recent insights in specific research areas within the scope of </w:t>
      </w:r>
      <w:r w:rsidR="007C1291" w:rsidRPr="00071933">
        <w:rPr>
          <w:i/>
        </w:rPr>
        <w:t>Clinical Epigenetics</w:t>
      </w:r>
      <w:r w:rsidR="007C1291">
        <w:t>. Key aims of Reviews are to provide systematic and substantial coverage of mature subjects, evaluations of progress in specified areas, and/or critical assessments of emerging technologies.”</w:t>
      </w:r>
      <w:r w:rsidR="007C1291">
        <w:rPr>
          <w:rStyle w:val="FootnoteReference"/>
        </w:rPr>
        <w:footnoteReference w:id="192"/>
      </w:r>
      <w:r w:rsidR="00BB7151">
        <w:t xml:space="preserve"> </w:t>
      </w:r>
      <w:r w:rsidR="001B7E56">
        <w:t xml:space="preserve">A review is considered to be a “non-research article,” </w:t>
      </w:r>
      <w:r w:rsidR="001F1CC9">
        <w:t>in the same classification as an opinion or a commentary.</w:t>
      </w:r>
      <w:r w:rsidR="001F1CC9">
        <w:rPr>
          <w:rStyle w:val="FootnoteReference"/>
        </w:rPr>
        <w:footnoteReference w:id="193"/>
      </w:r>
      <w:r w:rsidR="001F1CC9">
        <w:t xml:space="preserve"> This is in contrast t</w:t>
      </w:r>
      <w:r w:rsidR="001B7E56">
        <w:t xml:space="preserve">o a research article </w:t>
      </w:r>
      <w:r w:rsidR="007C1291">
        <w:t xml:space="preserve">that </w:t>
      </w:r>
      <w:r w:rsidR="00BB7151">
        <w:t>proposes a hypothesis, develops data, applies research methods such as statistical techniques, and reports results with implications and opportunities for further analysis</w:t>
      </w:r>
      <w:r w:rsidR="00D4086C">
        <w:t>.</w:t>
      </w:r>
      <w:r w:rsidR="00D4086C">
        <w:rPr>
          <w:rStyle w:val="FootnoteReference"/>
        </w:rPr>
        <w:footnoteReference w:id="194"/>
      </w:r>
      <w:r w:rsidR="001F1CC9">
        <w:t xml:space="preserve"> </w:t>
      </w:r>
    </w:p>
    <w:p w14:paraId="3B044C21" w14:textId="77777777" w:rsidR="00BB7151" w:rsidRDefault="00BB7151" w:rsidP="007C1291"/>
    <w:p w14:paraId="5E9174A8" w14:textId="6B8926DC" w:rsidR="00BB7151" w:rsidRDefault="003C434B" w:rsidP="00ED5178">
      <w:r>
        <w:t xml:space="preserve">While this distinction may be evident to academics, it may not be evident to consumers or </w:t>
      </w:r>
      <w:r w:rsidR="00BB7151">
        <w:t xml:space="preserve">information </w:t>
      </w:r>
      <w:r>
        <w:t>intermediaries.</w:t>
      </w:r>
      <w:r w:rsidR="00ED5178">
        <w:t xml:space="preserve"> For example, the </w:t>
      </w:r>
      <w:r w:rsidR="00BB7151">
        <w:t xml:space="preserve">Review’s </w:t>
      </w:r>
      <w:r w:rsidR="00ED5178">
        <w:t xml:space="preserve">abstract states that “we utilize a novel </w:t>
      </w:r>
      <w:proofErr w:type="spellStart"/>
      <w:r w:rsidR="00ED5178">
        <w:t>macroepigenetic</w:t>
      </w:r>
      <w:proofErr w:type="spellEnd"/>
      <w:r w:rsidR="00ED5178">
        <w:t xml:space="preserve"> </w:t>
      </w:r>
      <w:r w:rsidR="00ED5178">
        <w:lastRenderedPageBreak/>
        <w:t>approach to compare variations in diet and toxic substance exposure between these two geographical populations to determine the likely factors responsible for the autism epidemic in the United States.”</w:t>
      </w:r>
      <w:r w:rsidR="00FB45FB">
        <w:rPr>
          <w:rStyle w:val="FootnoteReference"/>
        </w:rPr>
        <w:footnoteReference w:id="195"/>
      </w:r>
      <w:r w:rsidR="00F67B46">
        <w:t xml:space="preserve"> </w:t>
      </w:r>
    </w:p>
    <w:p w14:paraId="4F2953C8" w14:textId="3E3E3BFB" w:rsidR="00C460BA" w:rsidRDefault="00F67B46" w:rsidP="00ED5178">
      <w:r>
        <w:t xml:space="preserve">This </w:t>
      </w:r>
      <w:r w:rsidR="00BB7151">
        <w:t>describes</w:t>
      </w:r>
      <w:r>
        <w:t xml:space="preserve"> what the Review hopes to achieve, </w:t>
      </w:r>
      <w:r w:rsidR="00BB7151">
        <w:t xml:space="preserve">but to an inexpert reader implies reporting of original research. </w:t>
      </w:r>
      <w:r w:rsidR="00C460BA">
        <w:t>An inexpert reader could reasonably believe that the Review makes data-driven comparisons of diet and toxic substance exposure using a new approach.</w:t>
      </w:r>
      <w:r w:rsidR="00D916D7">
        <w:t xml:space="preserve"> For example, one blog summarizes the Review: “A</w:t>
      </w:r>
      <w:r w:rsidR="00D916D7" w:rsidRPr="00D916D7">
        <w:t xml:space="preserve"> 2012 study published in Clinical Epigenetics found that high consumption of additives like high fructose corn syrup contributes to mineral deficiencies that might contribute to autism spectrum disorders.</w:t>
      </w:r>
      <w:r w:rsidR="00D916D7">
        <w:t>”</w:t>
      </w:r>
      <w:r w:rsidR="00D916D7">
        <w:rPr>
          <w:rStyle w:val="FootnoteReference"/>
        </w:rPr>
        <w:footnoteReference w:id="196"/>
      </w:r>
      <w:r w:rsidR="003658E4">
        <w:t xml:space="preserve"> </w:t>
      </w:r>
      <w:r w:rsidR="00C460BA">
        <w:t>With a number of websites already repeating the results of the Review without apparent acknowledgment that its findings are not based on data,</w:t>
      </w:r>
      <w:r w:rsidR="00C460BA">
        <w:rPr>
          <w:rStyle w:val="FootnoteReference"/>
        </w:rPr>
        <w:footnoteReference w:id="197"/>
      </w:r>
      <w:r w:rsidR="00C460BA">
        <w:t xml:space="preserve"> the </w:t>
      </w:r>
      <w:r w:rsidR="00F709B3">
        <w:t>miscomprehension</w:t>
      </w:r>
      <w:r w:rsidR="00C460BA">
        <w:t xml:space="preserve"> of a Review as equal to an original research article is one that could easily occur to </w:t>
      </w:r>
      <w:r w:rsidR="00BB5CD7">
        <w:t xml:space="preserve">casual or </w:t>
      </w:r>
      <w:r w:rsidR="00C460BA">
        <w:t>lay readers.</w:t>
      </w:r>
    </w:p>
    <w:p w14:paraId="6A7F5B39" w14:textId="77777777" w:rsidR="00C460BA" w:rsidRDefault="00C460BA" w:rsidP="00ED5178"/>
    <w:p w14:paraId="45958FDE" w14:textId="77777777" w:rsidR="00BB4037" w:rsidRDefault="008E171F" w:rsidP="00BB4037">
      <w:r>
        <w:t>Second, the Review states that its model “provides additional support for the ‘Redox/Methylation Hypothesis of Autism’ while contributing important insight into the oxidative stress feedback mechanisms that may occur as a result of malnutrition resulting from dietary exposures to toxins.”</w:t>
      </w:r>
      <w:r w:rsidR="00BB4037">
        <w:t xml:space="preserve"> This asserted contribution may be justified, but the necessary conditions and inferences required to establish that support are not. A sample point from the Review states that:</w:t>
      </w:r>
    </w:p>
    <w:p w14:paraId="15BD18D5" w14:textId="77777777" w:rsidR="00BB4037" w:rsidRDefault="00BB4037" w:rsidP="00BB4037"/>
    <w:p w14:paraId="126E6D69" w14:textId="77777777" w:rsidR="00BB4037" w:rsidRDefault="00BB4037" w:rsidP="00BB4037">
      <w:pPr>
        <w:ind w:left="720" w:right="720"/>
      </w:pPr>
      <w:r>
        <w:t>Children with autism could well be exhibiting an epigenetic response to several neurotoxic substances at once, including, but not limited to, inorganic Hg, Pb, OP pesticides and/or HFCS. The combined effect of these substances acting together is likely greater than the sum of the effects of the substances acting by themselves. This effect likely reduces neuronal plasticity and impairs learning capacity in autistic children.</w:t>
      </w:r>
      <w:r>
        <w:rPr>
          <w:rStyle w:val="FootnoteReference"/>
        </w:rPr>
        <w:footnoteReference w:id="198"/>
      </w:r>
    </w:p>
    <w:p w14:paraId="31681A4E" w14:textId="77777777" w:rsidR="00BB4037" w:rsidRDefault="00BB4037" w:rsidP="00BB4037">
      <w:r>
        <w:t xml:space="preserve"> </w:t>
      </w:r>
    </w:p>
    <w:p w14:paraId="4CB97EBB" w14:textId="5B6CD958" w:rsidR="00BB4037" w:rsidRDefault="00BB4037" w:rsidP="00BB4037">
      <w:r>
        <w:t xml:space="preserve">No science background is required to see that there are multiple and convoluted links that must be supported in this statement. For example, </w:t>
      </w:r>
      <w:r w:rsidR="0046734A">
        <w:t xml:space="preserve">the </w:t>
      </w:r>
      <w:r>
        <w:t>evidence would need be shown that exposure to various elements, pesticides, HFCS</w:t>
      </w:r>
      <w:r w:rsidR="0046734A">
        <w:t>, or other substances,</w:t>
      </w:r>
      <w:r>
        <w:t xml:space="preserve"> has significantly occurred in children. Then the evidence </w:t>
      </w:r>
      <w:r w:rsidR="0046734A">
        <w:t xml:space="preserve">needs to show </w:t>
      </w:r>
      <w:r>
        <w:t>that a harmful effect has occurred a</w:t>
      </w:r>
      <w:r w:rsidR="00162A99">
        <w:t>s a</w:t>
      </w:r>
      <w:r>
        <w:t xml:space="preserve"> result, and in relevant interactive and synergistic combinations. Such an interactive or synergistic effect which is assumed to now exist needs to then be demonstrated to reduce neuronal plasticity. Finally, that neuronal plasticity should be associated with learning capacity and then to </w:t>
      </w:r>
      <w:r w:rsidR="0046734A">
        <w:t>children with autism</w:t>
      </w:r>
      <w:r>
        <w:t>.</w:t>
      </w:r>
      <w:r w:rsidR="0046734A">
        <w:t xml:space="preserve"> There are numerous conditions to make the Review’s claim work, </w:t>
      </w:r>
      <w:r w:rsidR="0064729F">
        <w:t>and this brief paragraph is peppered with “likely,” “could well,” and other language implying only possibility. W</w:t>
      </w:r>
      <w:r w:rsidR="0046734A">
        <w:t>ithout original research the reader appears to be left with a</w:t>
      </w:r>
      <w:r w:rsidR="00AF68BB">
        <w:t xml:space="preserve">n </w:t>
      </w:r>
      <w:r w:rsidR="0046734A">
        <w:t xml:space="preserve">informed chain of speculation. </w:t>
      </w:r>
      <w:r>
        <w:t xml:space="preserve"> </w:t>
      </w:r>
    </w:p>
    <w:p w14:paraId="3F148895" w14:textId="77777777" w:rsidR="00BB4037" w:rsidRDefault="00BB4037" w:rsidP="00BB4037"/>
    <w:p w14:paraId="28A12D6A" w14:textId="799FD02D" w:rsidR="0046734A" w:rsidRDefault="0046734A" w:rsidP="008E171F">
      <w:r>
        <w:t xml:space="preserve">Third, findings from scientific publications such as this one can remain in the public consciousness even when the publication is later discounted by further academic research. </w:t>
      </w:r>
      <w:r w:rsidR="00BD4F2E">
        <w:t>One author team created a database of 4,723 primary studies and 306 articles that perform a meta-analysis.</w:t>
      </w:r>
      <w:r w:rsidR="00BD4F2E">
        <w:rPr>
          <w:rStyle w:val="FootnoteReference"/>
        </w:rPr>
        <w:footnoteReference w:id="199"/>
      </w:r>
      <w:r w:rsidR="00BD4F2E">
        <w:t xml:space="preserve"> The authors then measured the newspaper coverage of each study to evaluate the replication validity of the studies in the </w:t>
      </w:r>
      <w:r w:rsidR="00BD4F2E">
        <w:lastRenderedPageBreak/>
        <w:t>database.</w:t>
      </w:r>
      <w:r w:rsidR="005D364E">
        <w:rPr>
          <w:rStyle w:val="FootnoteReference"/>
        </w:rPr>
        <w:footnoteReference w:id="200"/>
      </w:r>
      <w:r w:rsidR="005D364E">
        <w:t xml:space="preserve"> The authors found that fewer than half of studies initially reported in newspaper coverage were actually confirmed by subsequent meta-analysis of the subject.</w:t>
      </w:r>
      <w:r w:rsidR="005D364E">
        <w:rPr>
          <w:rStyle w:val="FootnoteReference"/>
        </w:rPr>
        <w:footnoteReference w:id="201"/>
      </w:r>
      <w:r w:rsidR="00F36FC6">
        <w:t xml:space="preserve"> The authors concluded that “[o]</w:t>
      </w:r>
      <w:proofErr w:type="spellStart"/>
      <w:r w:rsidR="00F36FC6">
        <w:t>ur</w:t>
      </w:r>
      <w:proofErr w:type="spellEnd"/>
      <w:r w:rsidR="00F36FC6">
        <w:t xml:space="preserve"> study shows that many biomedical findings reported by newspapers are disconfirmed by subsequent studies. This is partly due to the fact that newspapers preferentially cover ‘positive’ initial studies rather than subsequent observations, in particular those reporting null findings. Our study also suggests that most journalists from the general press do not know or prefer not to deal with the high degree of uncertainty inherent in early biomedical studies.”</w:t>
      </w:r>
      <w:r w:rsidR="00F36FC6">
        <w:rPr>
          <w:rStyle w:val="FootnoteReference"/>
        </w:rPr>
        <w:footnoteReference w:id="202"/>
      </w:r>
      <w:r w:rsidR="0039669D">
        <w:t xml:space="preserve"> Combining this earlier work </w:t>
      </w:r>
      <w:r w:rsidR="001E379A">
        <w:t>finding</w:t>
      </w:r>
      <w:r w:rsidR="0039669D">
        <w:t xml:space="preserve"> that most early scientific studies reported false positive effects or inflated effect sizes,</w:t>
      </w:r>
      <w:r w:rsidR="0039669D">
        <w:rPr>
          <w:rStyle w:val="FootnoteReference"/>
        </w:rPr>
        <w:footnoteReference w:id="203"/>
      </w:r>
      <w:r w:rsidR="0039669D">
        <w:t xml:space="preserve"> </w:t>
      </w:r>
      <w:r w:rsidR="001E379A">
        <w:t xml:space="preserve">there is a significant potential for unsupported research lingering well past its relevance in the public consciousness. </w:t>
      </w:r>
      <w:r w:rsidR="00F23324">
        <w:t xml:space="preserve">This discounted scholarship effect can </w:t>
      </w:r>
      <w:r w:rsidR="00927920">
        <w:t>be especially insidious with science relating to controversial claims.</w:t>
      </w:r>
      <w:r w:rsidR="0064729F">
        <w:t xml:space="preserve"> The Review was published in 2012, with numerous websites uncritically repeating its thesis.</w:t>
      </w:r>
      <w:r w:rsidR="0064729F">
        <w:rPr>
          <w:rStyle w:val="FootnoteReference"/>
        </w:rPr>
        <w:footnoteReference w:id="204"/>
      </w:r>
      <w:r w:rsidR="00F67DE6">
        <w:t xml:space="preserve"> A number of years later, websites cursorily summarizing the Review still remain, and are available to any reader without perspective of the subsequent literature. </w:t>
      </w:r>
    </w:p>
    <w:p w14:paraId="30012B76" w14:textId="37ED28D5" w:rsidR="0046734A" w:rsidRDefault="0046734A" w:rsidP="008E171F"/>
    <w:p w14:paraId="38778C14" w14:textId="26405714" w:rsidR="00C21CA3" w:rsidRDefault="00F67DE6" w:rsidP="00B37301">
      <w:r>
        <w:t>Finally, like some other scientific works, the Review has received it</w:t>
      </w:r>
      <w:r w:rsidR="00C21CA3">
        <w:t>s</w:t>
      </w:r>
      <w:r>
        <w:t xml:space="preserve"> share of criticism which may not be evident to the casual reader. </w:t>
      </w:r>
      <w:r w:rsidR="00C21CA3">
        <w:t xml:space="preserve">One </w:t>
      </w:r>
      <w:r w:rsidR="00B37301">
        <w:t xml:space="preserve">science </w:t>
      </w:r>
      <w:r w:rsidR="00AC2DB7">
        <w:t>writer</w:t>
      </w:r>
      <w:r w:rsidR="00B37301">
        <w:t xml:space="preserve"> reviewing the article raised questions about the Review’s </w:t>
      </w:r>
      <w:r w:rsidR="00AC2DB7">
        <w:t>propositions</w:t>
      </w:r>
      <w:r w:rsidR="00B37301">
        <w:t>.</w:t>
      </w:r>
      <w:bookmarkStart w:id="31" w:name="_Ref535345146"/>
      <w:r w:rsidR="00B37301">
        <w:rPr>
          <w:rStyle w:val="FootnoteReference"/>
        </w:rPr>
        <w:footnoteReference w:id="205"/>
      </w:r>
      <w:bookmarkEnd w:id="31"/>
      <w:r w:rsidR="00AC2DB7">
        <w:t xml:space="preserve"> </w:t>
      </w:r>
      <w:r w:rsidR="0058244A">
        <w:t>According to the writer, o</w:t>
      </w:r>
      <w:r w:rsidR="00E50312">
        <w:t>ne of the most concerning points was the Review’s abrupt dismissal of well-researched neurotoxin as a potential influencer of fetal development.</w:t>
      </w:r>
      <w:r w:rsidR="006E5662">
        <w:rPr>
          <w:rStyle w:val="FootnoteReference"/>
        </w:rPr>
        <w:footnoteReference w:id="206"/>
      </w:r>
      <w:r w:rsidR="00E50312">
        <w:t xml:space="preserve"> The author states: </w:t>
      </w:r>
      <w:r w:rsidR="00B37301">
        <w:t>“</w:t>
      </w:r>
      <w:r w:rsidR="00B37301" w:rsidRPr="00BA4177">
        <w:t>Basically, the authors of this paper have stated that a neurotoxin is less likely to be affecting fetal development and instead sugar is the most likely cul</w:t>
      </w:r>
      <w:r w:rsidR="00B37301">
        <w:t xml:space="preserve">prit. </w:t>
      </w:r>
      <w:r w:rsidR="00B37301" w:rsidRPr="00BA4177">
        <w:t>That’s a pretty strong statement and, in my opinion, they just don’t have the data to back it up.</w:t>
      </w:r>
      <w:r w:rsidR="00B37301">
        <w:t>”</w:t>
      </w:r>
      <w:r w:rsidR="00B37301">
        <w:rPr>
          <w:rStyle w:val="FootnoteReference"/>
        </w:rPr>
        <w:footnoteReference w:id="207"/>
      </w:r>
      <w:r w:rsidR="00B37301">
        <w:t xml:space="preserve"> The </w:t>
      </w:r>
      <w:r w:rsidR="00E50312">
        <w:t>author</w:t>
      </w:r>
      <w:r w:rsidR="00B37301">
        <w:t xml:space="preserve"> remarks that many of the Review’s statements are speculative and without sufficient empirical support.</w:t>
      </w:r>
      <w:r w:rsidR="00B37301">
        <w:rPr>
          <w:rStyle w:val="FootnoteReference"/>
        </w:rPr>
        <w:footnoteReference w:id="208"/>
      </w:r>
      <w:r w:rsidR="006C7050">
        <w:t xml:space="preserve"> </w:t>
      </w:r>
      <w:r w:rsidR="008422C9">
        <w:t>The writer concludes that “</w:t>
      </w:r>
      <w:r w:rsidR="008422C9" w:rsidRPr="008422C9">
        <w:t>I can only conclude that the link between HFCS and autism is tenuous at best and completely fabricated at worst.</w:t>
      </w:r>
      <w:r w:rsidR="008422C9">
        <w:t>”</w:t>
      </w:r>
      <w:r w:rsidR="008422C9">
        <w:rPr>
          <w:rStyle w:val="FootnoteReference"/>
        </w:rPr>
        <w:footnoteReference w:id="209"/>
      </w:r>
      <w:r w:rsidR="00601C9E">
        <w:t xml:space="preserve"> </w:t>
      </w:r>
    </w:p>
    <w:p w14:paraId="530003FC" w14:textId="5940ECF2" w:rsidR="00C21CA3" w:rsidRDefault="00C21CA3" w:rsidP="00B37301"/>
    <w:p w14:paraId="5621F99E" w14:textId="511EC89F" w:rsidR="0058244A" w:rsidRDefault="0038712F" w:rsidP="00B37301">
      <w:r>
        <w:t xml:space="preserve">In another, more direct, challenge, biologist </w:t>
      </w:r>
      <w:r w:rsidR="00457BB0">
        <w:t xml:space="preserve">Emily Willingham </w:t>
      </w:r>
      <w:r>
        <w:t>critiques the article as not qualifying as a “study” in the scientific sense, and that the authors “</w:t>
      </w:r>
      <w:r w:rsidRPr="0038712F">
        <w:t>wave several red flags of pseudoscience in their article, which is packed with imprecise, only vaguely scientific terminology.</w:t>
      </w:r>
      <w:r>
        <w:t>”</w:t>
      </w:r>
      <w:r>
        <w:rPr>
          <w:rStyle w:val="FootnoteReference"/>
        </w:rPr>
        <w:footnoteReference w:id="210"/>
      </w:r>
      <w:r w:rsidR="00457BB0">
        <w:t xml:space="preserve"> Willingham explains that the study misconstrues mercury as a “monolithic threat” and overlooks that various forms of mercury </w:t>
      </w:r>
      <w:r w:rsidR="00457BB0">
        <w:lastRenderedPageBreak/>
        <w:t>have different impacts on the human body.</w:t>
      </w:r>
      <w:r w:rsidR="00457BB0">
        <w:rPr>
          <w:rStyle w:val="FootnoteReference"/>
        </w:rPr>
        <w:footnoteReference w:id="211"/>
      </w:r>
      <w:r w:rsidR="00457BB0">
        <w:t xml:space="preserve"> The authors “</w:t>
      </w:r>
      <w:r w:rsidR="00457BB0" w:rsidRPr="00457BB0">
        <w:t>seem to have little grasp of the differences among the different mercury-containing compounds, lumping them all together into one giant mercurial threat.</w:t>
      </w:r>
      <w:r w:rsidR="00457BB0">
        <w:t>”</w:t>
      </w:r>
      <w:r w:rsidR="00457BB0">
        <w:rPr>
          <w:rStyle w:val="FootnoteReference"/>
        </w:rPr>
        <w:footnoteReference w:id="212"/>
      </w:r>
      <w:r w:rsidR="00457BB0">
        <w:t xml:space="preserve"> Criticizing the mercury-HFCS connection the Review makes as nonexistent and the justification for it based on a “extremely poorly executed study,” </w:t>
      </w:r>
      <w:r w:rsidR="0058244A">
        <w:t>Willingham notes that the “Rube-</w:t>
      </w:r>
      <w:proofErr w:type="spellStart"/>
      <w:r w:rsidR="0058244A">
        <w:t>Goldbergian</w:t>
      </w:r>
      <w:proofErr w:type="spellEnd"/>
      <w:r w:rsidR="0058244A">
        <w:t xml:space="preserve"> monstrosity” that is the Review’s model “</w:t>
      </w:r>
      <w:r w:rsidR="0058244A" w:rsidRPr="0058244A">
        <w:t>would collapse utterly were a single component removed.</w:t>
      </w:r>
      <w:r w:rsidR="0058244A">
        <w:t>”</w:t>
      </w:r>
      <w:r w:rsidR="0058244A">
        <w:rPr>
          <w:rStyle w:val="FootnoteReference"/>
        </w:rPr>
        <w:footnoteReference w:id="213"/>
      </w:r>
      <w:r w:rsidR="0058244A">
        <w:t xml:space="preserve"> Willingham concludes that “[the Review] </w:t>
      </w:r>
      <w:r w:rsidR="0058244A" w:rsidRPr="0058244A">
        <w:t>begins with a fallacy — an autism “epidemic” — and unfolds an extraordinarily unscientific and fragile argument in an attempt to link autism and HFCS</w:t>
      </w:r>
      <w:r w:rsidR="0058244A">
        <w:t xml:space="preserve">. . . . </w:t>
      </w:r>
      <w:r w:rsidR="0058244A" w:rsidRPr="0058244A">
        <w:t>The authors’ review and their model are both based on air.</w:t>
      </w:r>
      <w:r w:rsidR="0058244A">
        <w:t>”</w:t>
      </w:r>
      <w:r w:rsidR="0058244A">
        <w:rPr>
          <w:rStyle w:val="FootnoteReference"/>
        </w:rPr>
        <w:footnoteReference w:id="214"/>
      </w:r>
    </w:p>
    <w:p w14:paraId="7DA97F57" w14:textId="42F4739A" w:rsidR="00457BB0" w:rsidRDefault="00457BB0" w:rsidP="00B37301"/>
    <w:p w14:paraId="3703C558" w14:textId="3B0F4FA6" w:rsidR="0058244A" w:rsidRDefault="0058244A" w:rsidP="00B37301">
      <w:r>
        <w:t xml:space="preserve">These and other criticisms by Willingham prompted a response by the authors of the Review, who </w:t>
      </w:r>
      <w:r w:rsidR="005B7894">
        <w:t>replied</w:t>
      </w:r>
      <w:r>
        <w:t xml:space="preserve"> that their paper does not claim HFCS causes autism, but rather that it may be one important risk factor that contributes to a “total load” of risks.</w:t>
      </w:r>
      <w:r>
        <w:rPr>
          <w:rStyle w:val="FootnoteReference"/>
        </w:rPr>
        <w:footnoteReference w:id="215"/>
      </w:r>
      <w:r>
        <w:t xml:space="preserve"> The authors position their paper as an exhortation to explore new ideas and discuss multiple and interactive risks that will help with a “more precise understanding </w:t>
      </w:r>
      <w:r w:rsidRPr="0058244A">
        <w:t>of the way multiple factors can combine and contribute to autism.</w:t>
      </w:r>
      <w:r>
        <w:t>”</w:t>
      </w:r>
      <w:r>
        <w:rPr>
          <w:rStyle w:val="FootnoteReference"/>
        </w:rPr>
        <w:footnoteReference w:id="216"/>
      </w:r>
      <w:r>
        <w:t xml:space="preserve"> In short, the authors said “we wanted to </w:t>
      </w:r>
      <w:r w:rsidRPr="0058244A">
        <w:t>explore how these intersecting</w:t>
      </w:r>
      <w:r w:rsidR="00B86B9A">
        <w:t>”</w:t>
      </w:r>
      <w:r w:rsidRPr="0058244A">
        <w:t xml:space="preserve"> processes may be at play in explaining autism in at least some children.</w:t>
      </w:r>
      <w:r>
        <w:t>”</w:t>
      </w:r>
      <w:r>
        <w:rPr>
          <w:rStyle w:val="FootnoteReference"/>
        </w:rPr>
        <w:footnoteReference w:id="217"/>
      </w:r>
      <w:r>
        <w:t xml:space="preserve"> Willingham </w:t>
      </w:r>
      <w:r w:rsidR="00B86B9A">
        <w:t>replied that “[t]</w:t>
      </w:r>
      <w:r w:rsidR="00B86B9A" w:rsidRPr="00B86B9A">
        <w:t>he authors don’t seem to have addressed any of the fundamental flaws in reasoning and evidence in their paper that I brought up</w:t>
      </w:r>
      <w:r w:rsidR="00B86B9A">
        <w:t>”</w:t>
      </w:r>
      <w:r w:rsidR="00590DCB">
        <w:t xml:space="preserve"> and “</w:t>
      </w:r>
      <w:r w:rsidR="00590DCB" w:rsidRPr="00590DCB">
        <w:t xml:space="preserve">what </w:t>
      </w:r>
      <w:r w:rsidR="00590DCB">
        <w:t xml:space="preserve">[the Review authors] </w:t>
      </w:r>
      <w:r w:rsidR="00590DCB" w:rsidRPr="00590DCB">
        <w:t xml:space="preserve">actually do in their paper is to try to lay out a </w:t>
      </w:r>
      <w:r w:rsidR="00590DCB" w:rsidRPr="00590DCB">
        <w:rPr>
          <w:i/>
        </w:rPr>
        <w:t>causative mechanism</w:t>
      </w:r>
      <w:r w:rsidR="00590DCB" w:rsidRPr="00590DCB">
        <w:t xml:space="preserve"> for autism involving HFCS.</w:t>
      </w:r>
      <w:r w:rsidR="00B86B9A">
        <w:rPr>
          <w:rStyle w:val="FootnoteReference"/>
        </w:rPr>
        <w:footnoteReference w:id="218"/>
      </w:r>
    </w:p>
    <w:p w14:paraId="60C5DC63" w14:textId="21A4B103" w:rsidR="00457BB0" w:rsidRDefault="00457BB0" w:rsidP="00B37301"/>
    <w:p w14:paraId="4905B8CC" w14:textId="0A0B4F9A" w:rsidR="00C21CA3" w:rsidRDefault="00C21CA3" w:rsidP="00B37301">
      <w:r>
        <w:t xml:space="preserve">These criticisms may </w:t>
      </w:r>
      <w:r w:rsidR="00D03DBD">
        <w:t>entirely meritorious</w:t>
      </w:r>
      <w:r w:rsidR="005B7894">
        <w:t xml:space="preserve">, </w:t>
      </w:r>
      <w:r w:rsidR="00D03DBD">
        <w:t>without justification</w:t>
      </w:r>
      <w:r w:rsidR="005B7894">
        <w:t>, or somewhere in between</w:t>
      </w:r>
      <w:r w:rsidR="00D03DBD">
        <w:t xml:space="preserve">. </w:t>
      </w:r>
      <w:r w:rsidR="005B7894">
        <w:t>Nonetheless</w:t>
      </w:r>
      <w:r w:rsidR="00D03DBD">
        <w:t xml:space="preserve">, a casual </w:t>
      </w:r>
      <w:r w:rsidR="002B26BC">
        <w:t>reader of</w:t>
      </w:r>
      <w:r w:rsidR="00D03DBD">
        <w:t xml:space="preserve"> the Review or other publications further up the citation chain will have no idea about the debates surrounding the underlying science. Th</w:t>
      </w:r>
      <w:r w:rsidR="00AF68BB">
        <w:t xml:space="preserve">is </w:t>
      </w:r>
      <w:r w:rsidR="00D03DBD">
        <w:t xml:space="preserve">is yet another invitation for online readers to misinterpret and misapply </w:t>
      </w:r>
      <w:r w:rsidR="00AF68BB">
        <w:t>the link between GMO consumption and autism spectrum disorder.</w:t>
      </w:r>
    </w:p>
    <w:p w14:paraId="6527C4AD" w14:textId="77777777" w:rsidR="00C21CA3" w:rsidRDefault="00C21CA3" w:rsidP="00C21CA3"/>
    <w:p w14:paraId="52F47E14" w14:textId="16557C6F" w:rsidR="005F7634" w:rsidRPr="0079497B" w:rsidRDefault="005F7634" w:rsidP="005F7634">
      <w:pPr>
        <w:rPr>
          <w:i/>
        </w:rPr>
      </w:pPr>
      <w:r>
        <w:rPr>
          <w:i/>
        </w:rPr>
        <w:t>C</w:t>
      </w:r>
      <w:r w:rsidRPr="0079497B">
        <w:rPr>
          <w:i/>
        </w:rPr>
        <w:t xml:space="preserve">. </w:t>
      </w:r>
      <w:r>
        <w:rPr>
          <w:i/>
        </w:rPr>
        <w:t>Does the Review’s Source Validate its Claim?</w:t>
      </w:r>
    </w:p>
    <w:p w14:paraId="0895AE05" w14:textId="77777777" w:rsidR="005F7634" w:rsidRDefault="005F7634" w:rsidP="005F7634"/>
    <w:p w14:paraId="35822D88" w14:textId="52F291F5" w:rsidR="00710254" w:rsidRDefault="00BD4F2E" w:rsidP="005F7634">
      <w:r>
        <w:t>T</w:t>
      </w:r>
      <w:r w:rsidR="005F7634">
        <w:t>he Review cites numerous sources in support of its proposed model.</w:t>
      </w:r>
      <w:r w:rsidR="00734E1A">
        <w:t xml:space="preserve"> </w:t>
      </w:r>
      <w:r>
        <w:t>This Article does not</w:t>
      </w:r>
      <w:r w:rsidR="00734E1A">
        <w:t xml:space="preserve"> trace them all, but </w:t>
      </w:r>
      <w:r>
        <w:t xml:space="preserve">examines </w:t>
      </w:r>
      <w:r w:rsidR="002B26BC">
        <w:t>one claim</w:t>
      </w:r>
      <w:r w:rsidR="00734E1A">
        <w:t xml:space="preserve"> in the Review </w:t>
      </w:r>
      <w:r>
        <w:t>that</w:t>
      </w:r>
      <w:r w:rsidR="00734E1A">
        <w:t xml:space="preserve"> merit</w:t>
      </w:r>
      <w:r w:rsidR="002B26BC">
        <w:t>s</w:t>
      </w:r>
      <w:r w:rsidR="00734E1A">
        <w:t xml:space="preserve"> further examination. </w:t>
      </w:r>
      <w:r w:rsidR="00710254">
        <w:t>On</w:t>
      </w:r>
      <w:r w:rsidR="002B26BC">
        <w:t xml:space="preserve">e key point in the review is whether </w:t>
      </w:r>
      <w:r w:rsidR="00710254">
        <w:t xml:space="preserve">consumption of HFCS influences mineral consumption that could in turn influence incidence of autism. </w:t>
      </w:r>
      <w:r w:rsidR="002B26BC">
        <w:t>T</w:t>
      </w:r>
      <w:r w:rsidR="005F7634">
        <w:t>he Review states that, “[w]</w:t>
      </w:r>
      <w:proofErr w:type="spellStart"/>
      <w:r w:rsidR="005F7634">
        <w:t>ith</w:t>
      </w:r>
      <w:proofErr w:type="spellEnd"/>
      <w:r w:rsidR="005F7634">
        <w:t xml:space="preserve"> dietary zinc (Zn) loss and copper (Cu) gain from the consumption of high fructose corn syrup (HFCS) [16], metabolic processes required to eliminate heavy metals are impaired in children with autism [4].”</w:t>
      </w:r>
      <w:r w:rsidR="005F7634">
        <w:rPr>
          <w:rStyle w:val="FootnoteReference"/>
        </w:rPr>
        <w:footnoteReference w:id="219"/>
      </w:r>
      <w:r w:rsidR="005F7634">
        <w:t xml:space="preserve"> This statement is significant because it is the basis of one of the links between mercury and autism in the model.</w:t>
      </w:r>
      <w:r w:rsidR="005F7634">
        <w:rPr>
          <w:rStyle w:val="FootnoteReference"/>
        </w:rPr>
        <w:footnoteReference w:id="220"/>
      </w:r>
      <w:r w:rsidR="00710254">
        <w:t xml:space="preserve"> </w:t>
      </w:r>
    </w:p>
    <w:p w14:paraId="4AB5E9C5" w14:textId="77777777" w:rsidR="00710254" w:rsidRDefault="00710254" w:rsidP="005F7634"/>
    <w:p w14:paraId="7792F740" w14:textId="0C797113" w:rsidR="005F7634" w:rsidRDefault="005F7634" w:rsidP="005F7634">
      <w:r>
        <w:lastRenderedPageBreak/>
        <w:t>The numbers in brackets are sources.</w:t>
      </w:r>
      <w:r w:rsidR="00710254">
        <w:t xml:space="preserve"> </w:t>
      </w:r>
      <w:r>
        <w:t xml:space="preserve">Source 4 </w:t>
      </w:r>
      <w:r w:rsidR="00710254">
        <w:t xml:space="preserve">need not be pursued further because </w:t>
      </w:r>
      <w:r>
        <w:t xml:space="preserve">is not original research but another review, also published in </w:t>
      </w:r>
      <w:r>
        <w:rPr>
          <w:i/>
        </w:rPr>
        <w:t xml:space="preserve">Clinical Epigenetics </w:t>
      </w:r>
      <w:r>
        <w:t>and also written by the same lead author</w:t>
      </w:r>
      <w:r w:rsidR="00710254">
        <w:t>,</w:t>
      </w:r>
      <w:r>
        <w:t xml:space="preserve"> proposing an earlier version of the Mercury Toxicity Model.</w:t>
      </w:r>
      <w:r>
        <w:rPr>
          <w:rStyle w:val="FootnoteReference"/>
        </w:rPr>
        <w:footnoteReference w:id="221"/>
      </w:r>
      <w:r>
        <w:t xml:space="preserve"> Source 16 is worth exploring further because it is original research. Source 16 is a 1992 study titled “</w:t>
      </w:r>
      <w:r>
        <w:rPr>
          <w:i/>
        </w:rPr>
        <w:t>Mineral Imbalances in Humans as Affected by Fructose, High Fructose Corn Syrup, and Sucrose</w:t>
      </w:r>
      <w:r>
        <w:t>.”</w:t>
      </w:r>
      <w:r>
        <w:rPr>
          <w:rStyle w:val="FootnoteReference"/>
        </w:rPr>
        <w:footnoteReference w:id="222"/>
      </w:r>
      <w:r>
        <w:t xml:space="preserve"> The purpose of the study was to</w:t>
      </w:r>
      <w:r w:rsidR="00710254">
        <w:t xml:space="preserve"> </w:t>
      </w:r>
      <w:r>
        <w:t>compare the effects between sucrose and fructose, and sucrose and HFCS, “on the utilization of selected minerals by humans.”</w:t>
      </w:r>
      <w:r>
        <w:rPr>
          <w:rStyle w:val="FootnoteReference"/>
        </w:rPr>
        <w:footnoteReference w:id="223"/>
      </w:r>
      <w:r>
        <w:t xml:space="preserve"> </w:t>
      </w:r>
      <w:r w:rsidR="00A55FD5">
        <w:t>The minerals selected included zinc and copper, elements which are specifically referenced in the Review.</w:t>
      </w:r>
      <w:r w:rsidR="00A55FD5">
        <w:rPr>
          <w:rStyle w:val="FootnoteReference"/>
        </w:rPr>
        <w:footnoteReference w:id="224"/>
      </w:r>
      <w:r w:rsidR="00A55FD5">
        <w:t xml:space="preserve"> </w:t>
      </w:r>
      <w:r>
        <w:t xml:space="preserve">The </w:t>
      </w:r>
      <w:r w:rsidR="00F72E71">
        <w:t xml:space="preserve">1992 study </w:t>
      </w:r>
      <w:r>
        <w:t>authors found that “substituting HFCS instead of fructose for sucrose is more desirable in terms of an overall effect on mineral absorption”</w:t>
      </w:r>
      <w:r>
        <w:rPr>
          <w:rStyle w:val="FootnoteReference"/>
        </w:rPr>
        <w:footnoteReference w:id="225"/>
      </w:r>
      <w:r>
        <w:t xml:space="preserve"> and concluded that “no adverse effects were noticed during HFCS feeding.”</w:t>
      </w:r>
      <w:r>
        <w:rPr>
          <w:rStyle w:val="FootnoteReference"/>
        </w:rPr>
        <w:footnoteReference w:id="226"/>
      </w:r>
      <w:r w:rsidR="00710254">
        <w:t xml:space="preserve"> </w:t>
      </w:r>
      <w:r w:rsidR="00A55FD5">
        <w:t>By contrast, test subjects that consumed fructose, a different type of sugar, did experience diarrhea which potentially decreased mineral absorption.</w:t>
      </w:r>
      <w:r w:rsidR="00A55FD5">
        <w:rPr>
          <w:rStyle w:val="FootnoteReference"/>
        </w:rPr>
        <w:footnoteReference w:id="227"/>
      </w:r>
      <w:r w:rsidR="00A55FD5">
        <w:t xml:space="preserve"> </w:t>
      </w:r>
      <w:r w:rsidR="0043443E">
        <w:t xml:space="preserve">This appears to undermine the Review’s claim rather than support it, and it is thus unclear </w:t>
      </w:r>
      <w:r>
        <w:t>why the Review cited the 1992 study for the assertion claimed.</w:t>
      </w:r>
      <w:r>
        <w:rPr>
          <w:rStyle w:val="FootnoteReference"/>
        </w:rPr>
        <w:footnoteReference w:id="228"/>
      </w:r>
    </w:p>
    <w:p w14:paraId="74C1ED99" w14:textId="4EC505BC" w:rsidR="0043443E" w:rsidRDefault="0043443E" w:rsidP="005F7634"/>
    <w:p w14:paraId="7779E093" w14:textId="085401F2" w:rsidR="0043443E" w:rsidRDefault="0043443E" w:rsidP="005F7634">
      <w:r>
        <w:t xml:space="preserve">In an examination of four separate sources, the ability of such sources to communicate scientific fact effectively is not inspiring. A Blog misrepresented the claims of a law journal Feature by making </w:t>
      </w:r>
      <w:r w:rsidR="00F72E71">
        <w:t xml:space="preserve">unconditional claims about GMO and autism. </w:t>
      </w:r>
      <w:r>
        <w:t>The Feature misrepresented a Press Release focusing on HFCS, elements, and autism by relying on it as justification for the claim that GMO consumption</w:t>
      </w:r>
      <w:r w:rsidR="00F72E71">
        <w:t xml:space="preserve"> is linked to increased autism cases and</w:t>
      </w:r>
      <w:r>
        <w:t xml:space="preserve"> “catalyze</w:t>
      </w:r>
      <w:r w:rsidR="00F72E71">
        <w:t>[s]</w:t>
      </w:r>
      <w:r>
        <w:t xml:space="preserve"> the risk of autism” under certain conditions. </w:t>
      </w:r>
      <w:r w:rsidR="0064164A">
        <w:t xml:space="preserve">The Press Release mispresented </w:t>
      </w:r>
      <w:r w:rsidR="00F72E71">
        <w:t>the</w:t>
      </w:r>
      <w:r w:rsidR="0064164A">
        <w:t xml:space="preserve"> Review by headlining with a claim that </w:t>
      </w:r>
      <w:r w:rsidR="00A55FD5">
        <w:t xml:space="preserve">is broader than what the Review actually accomplished. The Review </w:t>
      </w:r>
      <w:r w:rsidR="00F72E71">
        <w:t xml:space="preserve">misconstrued original research as supportive of their argument when in fact it was contradictory. </w:t>
      </w:r>
      <w:r w:rsidR="00B91E56">
        <w:t>At each link in the chain of communication, relevant information was lost. The result was that through four separate citations the original statement was distorted so significantly that it had little to no connection with the final proposal.</w:t>
      </w:r>
      <w:r w:rsidR="00CA0872">
        <w:t xml:space="preserve"> With the game of telephone complete, the next Part of this article addresses how </w:t>
      </w:r>
      <w:r w:rsidR="00047708">
        <w:t>scientific miscommunication can be averted through various links in the publication process.</w:t>
      </w:r>
    </w:p>
    <w:p w14:paraId="11186C95" w14:textId="77777777" w:rsidR="0043443E" w:rsidRDefault="0043443E" w:rsidP="005F7634"/>
    <w:p w14:paraId="090F7EA7" w14:textId="77777777" w:rsidR="006A3BCD" w:rsidRDefault="006A3BCD" w:rsidP="007C1291"/>
    <w:p w14:paraId="63C00816" w14:textId="77777777" w:rsidR="003B5809" w:rsidRPr="00594E0F" w:rsidRDefault="000B3214">
      <w:pPr>
        <w:rPr>
          <w:b/>
        </w:rPr>
      </w:pPr>
      <w:r w:rsidRPr="00594E0F">
        <w:rPr>
          <w:b/>
        </w:rPr>
        <w:t>V</w:t>
      </w:r>
      <w:r w:rsidR="00716AD9" w:rsidRPr="00594E0F">
        <w:rPr>
          <w:b/>
        </w:rPr>
        <w:t>I</w:t>
      </w:r>
      <w:r w:rsidRPr="00594E0F">
        <w:rPr>
          <w:b/>
        </w:rPr>
        <w:t xml:space="preserve">. </w:t>
      </w:r>
      <w:r w:rsidR="00716AD9" w:rsidRPr="00594E0F">
        <w:rPr>
          <w:b/>
        </w:rPr>
        <w:t>Deterring</w:t>
      </w:r>
      <w:r w:rsidR="003B5809" w:rsidRPr="00594E0F">
        <w:rPr>
          <w:b/>
        </w:rPr>
        <w:t xml:space="preserve"> Miscommunication and Misinterpretation of Science</w:t>
      </w:r>
    </w:p>
    <w:p w14:paraId="59031B9E" w14:textId="77777777" w:rsidR="00C9541F" w:rsidRDefault="00C9541F"/>
    <w:p w14:paraId="67475E41" w14:textId="2DCA6FCA" w:rsidR="003B5809" w:rsidRDefault="00C80AC8">
      <w:r>
        <w:t xml:space="preserve">Although the communication gap between scientists and consumer may be significant, it is not insurmountable. </w:t>
      </w:r>
      <w:r w:rsidR="00F31547">
        <w:t>The purpose of this Part is to establish three lines of defense against misinterpretation</w:t>
      </w:r>
      <w:r>
        <w:t xml:space="preserve"> </w:t>
      </w:r>
      <w:r w:rsidR="007F498A">
        <w:t>of science</w:t>
      </w:r>
      <w:r>
        <w:t xml:space="preserve"> as knowledge feeds from expert to consumer</w:t>
      </w:r>
      <w:r w:rsidR="007F498A">
        <w:t xml:space="preserve">. The first line of defense are the scientists and the scientific publishers. Initial producers and </w:t>
      </w:r>
      <w:r w:rsidR="001B15C4">
        <w:t xml:space="preserve">publishers </w:t>
      </w:r>
      <w:r w:rsidR="007F498A">
        <w:t>of scientific information need to be more careful about how scientific jargon can be misinterpreted by non-expert readers.</w:t>
      </w:r>
      <w:r w:rsidR="009A11C9">
        <w:t xml:space="preserve"> The second line of </w:t>
      </w:r>
      <w:r w:rsidR="009A11C9">
        <w:lastRenderedPageBreak/>
        <w:t xml:space="preserve">defense are the information intermediaries. Information intermediaries </w:t>
      </w:r>
      <w:r w:rsidR="00AE5966">
        <w:t>republish</w:t>
      </w:r>
      <w:r w:rsidR="009A11C9">
        <w:t xml:space="preserve"> scientific information in order for it to reach a broader </w:t>
      </w:r>
      <w:r w:rsidR="000A4F99">
        <w:t>academic</w:t>
      </w:r>
      <w:r w:rsidR="009A11C9">
        <w:t>.</w:t>
      </w:r>
      <w:r w:rsidR="000425B1">
        <w:t xml:space="preserve"> The final line of defense rests with information repeaters and information consumers. Information repeaters represent the millions of blogs, articles, posts, </w:t>
      </w:r>
      <w:r w:rsidR="00843333">
        <w:t xml:space="preserve">tweets, </w:t>
      </w:r>
      <w:r w:rsidR="000425B1">
        <w:t xml:space="preserve">and other non-expert publications </w:t>
      </w:r>
      <w:r w:rsidR="00843333">
        <w:t>that republish content for a lay audience or for personal interest. Consumers are the final recipients of scientific information, forming opinions, making medical decisions, and supporting policies based upon the science that they believe to be true based upon what they read.</w:t>
      </w:r>
      <w:r w:rsidR="00C9541F">
        <w:t xml:space="preserve"> All three groups can play an important role in reducing miscommunication, and this Part offers recommendations to avoid further misinterpretations like those presented in this citation trace.</w:t>
      </w:r>
    </w:p>
    <w:p w14:paraId="37F7C5FF" w14:textId="77777777" w:rsidR="00C9541F" w:rsidRDefault="00C9541F"/>
    <w:p w14:paraId="37738E12" w14:textId="77777777" w:rsidR="00C9541F" w:rsidRPr="00C9541F" w:rsidRDefault="00C9541F">
      <w:r>
        <w:rPr>
          <w:i/>
        </w:rPr>
        <w:t>A. Scientists and Scientific Publishers</w:t>
      </w:r>
      <w:r w:rsidR="00871B2F">
        <w:rPr>
          <w:i/>
        </w:rPr>
        <w:t xml:space="preserve">: The Purveyors of Knowledge </w:t>
      </w:r>
    </w:p>
    <w:p w14:paraId="671E187C" w14:textId="77777777" w:rsidR="003B5809" w:rsidRDefault="003B5809"/>
    <w:p w14:paraId="089E45FC" w14:textId="4583B00A" w:rsidR="00145CC8" w:rsidRDefault="00145CC8" w:rsidP="00145CC8">
      <w:r>
        <w:t>Scientific research is by its very nature complex.</w:t>
      </w:r>
      <w:bookmarkStart w:id="32" w:name="_Ref535345553"/>
      <w:r>
        <w:rPr>
          <w:rStyle w:val="FootnoteReference"/>
        </w:rPr>
        <w:footnoteReference w:id="229"/>
      </w:r>
      <w:bookmarkEnd w:id="32"/>
      <w:r>
        <w:t xml:space="preserve"> Findings in their original form may </w:t>
      </w:r>
      <w:r w:rsidR="00540723">
        <w:t xml:space="preserve">often </w:t>
      </w:r>
      <w:r>
        <w:t>only be fully comprehensible by experts in the field. As a result, it is increasingly the responsibility of the creators of scientific knowledge to communicate that knowledge to the broader public.</w:t>
      </w:r>
      <w:r>
        <w:rPr>
          <w:rStyle w:val="FootnoteReference"/>
        </w:rPr>
        <w:footnoteReference w:id="230"/>
      </w:r>
      <w:r>
        <w:t xml:space="preserve"> </w:t>
      </w:r>
    </w:p>
    <w:p w14:paraId="19745A2F" w14:textId="77777777" w:rsidR="00145CC8" w:rsidRDefault="00145CC8" w:rsidP="00145CC8"/>
    <w:p w14:paraId="1FB48528" w14:textId="2D49E7E2" w:rsidR="00145CC8" w:rsidRDefault="00145CC8" w:rsidP="00145CC8">
      <w:r>
        <w:t>However, communicating science to the public is not a simple task.</w:t>
      </w:r>
      <w:bookmarkStart w:id="33" w:name="_Ref535499717"/>
      <w:r>
        <w:rPr>
          <w:rStyle w:val="FootnoteReference"/>
        </w:rPr>
        <w:footnoteReference w:id="231"/>
      </w:r>
      <w:bookmarkEnd w:id="33"/>
      <w:r>
        <w:t xml:space="preserve"> Compressing a </w:t>
      </w:r>
      <w:r w:rsidR="00540723">
        <w:t>complicated</w:t>
      </w:r>
      <w:r w:rsidR="000A4F99">
        <w:t xml:space="preserve"> and nuanced </w:t>
      </w:r>
      <w:r>
        <w:t xml:space="preserve">scientific finding into </w:t>
      </w:r>
      <w:r w:rsidR="000A4F99">
        <w:t xml:space="preserve">a digestible, entertaining, and still fully accurate sound bite is </w:t>
      </w:r>
      <w:r w:rsidR="00540723">
        <w:t>quite difficult</w:t>
      </w:r>
      <w:r w:rsidR="000A4F99">
        <w:t>.</w:t>
      </w:r>
      <w:r w:rsidR="000A4F99">
        <w:rPr>
          <w:rStyle w:val="FootnoteReference"/>
        </w:rPr>
        <w:footnoteReference w:id="232"/>
      </w:r>
      <w:r>
        <w:t xml:space="preserve"> Concepts such as “neuron,” “synapse,” and “allele” are so fundamental in scientific research that experts may assume that general public knows what they mean.</w:t>
      </w:r>
      <w:r>
        <w:rPr>
          <w:rStyle w:val="FootnoteReference"/>
        </w:rPr>
        <w:footnoteReference w:id="233"/>
      </w:r>
      <w:r>
        <w:t xml:space="preserve"> A lack </w:t>
      </w:r>
      <w:r w:rsidR="00683CC3">
        <w:t>of</w:t>
      </w:r>
      <w:r>
        <w:t xml:space="preserve"> training in science communication may exacerbate this problem.</w:t>
      </w:r>
      <w:r>
        <w:rPr>
          <w:rStyle w:val="FootnoteReference"/>
        </w:rPr>
        <w:footnoteReference w:id="234"/>
      </w:r>
      <w:r>
        <w:t xml:space="preserve"> There may also be little incentive to promote one’s work to the general public or translate it for the benefit of developing public policy.</w:t>
      </w:r>
      <w:r>
        <w:rPr>
          <w:rStyle w:val="FootnoteReference"/>
        </w:rPr>
        <w:footnoteReference w:id="235"/>
      </w:r>
      <w:r>
        <w:t xml:space="preserve"> In spite of frustration felt </w:t>
      </w:r>
      <w:r w:rsidR="00FF1C49">
        <w:t xml:space="preserve">by some scientists when seeing disconnects between science and legal policy, </w:t>
      </w:r>
      <w:r w:rsidR="007F38AF">
        <w:t xml:space="preserve">advocacy for science-based policymaking </w:t>
      </w:r>
      <w:r>
        <w:t>may be seen as someone else’s role.</w:t>
      </w:r>
      <w:r>
        <w:rPr>
          <w:rStyle w:val="FootnoteReference"/>
        </w:rPr>
        <w:footnoteReference w:id="236"/>
      </w:r>
      <w:r>
        <w:t xml:space="preserve"> Instead, scientists may find it more worthwhile to focus on new research and apply for future grants. Critical public issues such as skepticism of overwhelmingly supported evidence of climate change, for example, have been credited in part by a breakdown of communication of primary data to the general public.</w:t>
      </w:r>
      <w:r>
        <w:rPr>
          <w:rStyle w:val="FootnoteReference"/>
        </w:rPr>
        <w:footnoteReference w:id="237"/>
      </w:r>
    </w:p>
    <w:p w14:paraId="1FCFADD4" w14:textId="77777777" w:rsidR="00145CC8" w:rsidRDefault="00145CC8" w:rsidP="00145CC8"/>
    <w:p w14:paraId="7D4C5F93" w14:textId="62FA38AB" w:rsidR="00145CC8" w:rsidRDefault="00FF1C49" w:rsidP="00145CC8">
      <w:r>
        <w:lastRenderedPageBreak/>
        <w:t>First, s</w:t>
      </w:r>
      <w:r w:rsidR="00145CC8">
        <w:t xml:space="preserve">cientists </w:t>
      </w:r>
      <w:r>
        <w:t xml:space="preserve">need training </w:t>
      </w:r>
      <w:r w:rsidR="00145CC8">
        <w:t>in science communication.</w:t>
      </w:r>
      <w:r w:rsidR="00145CC8">
        <w:rPr>
          <w:rStyle w:val="FootnoteReference"/>
        </w:rPr>
        <w:footnoteReference w:id="238"/>
      </w:r>
      <w:r w:rsidR="00145CC8">
        <w:t xml:space="preserve"> Integrating communication into the framework of basic science education will incorporate the concept of, and the duty to, interact with the public when aspiring scientists are still formulating their norms and values.</w:t>
      </w:r>
      <w:r w:rsidR="00145CC8">
        <w:rPr>
          <w:rStyle w:val="FootnoteReference"/>
        </w:rPr>
        <w:footnoteReference w:id="239"/>
      </w:r>
      <w:r w:rsidR="00145CC8">
        <w:t xml:space="preserve"> Education in science communication can not only improve the writing of future scientists to a mass audience, but may also improve their writing skills as a whole, making communication in scientific journals less obtuse and jargon-laden than is required to explain the necessary knowledge to others.</w:t>
      </w:r>
      <w:r w:rsidR="00145CC8">
        <w:rPr>
          <w:rStyle w:val="FootnoteReference"/>
        </w:rPr>
        <w:footnoteReference w:id="240"/>
      </w:r>
    </w:p>
    <w:p w14:paraId="19DA6597" w14:textId="77777777" w:rsidR="00145CC8" w:rsidRDefault="00145CC8" w:rsidP="00145CC8"/>
    <w:p w14:paraId="6A781B5C" w14:textId="7E04F6AE" w:rsidR="00145CC8" w:rsidRDefault="00FF1C49" w:rsidP="00145CC8">
      <w:r>
        <w:t xml:space="preserve">Second, </w:t>
      </w:r>
      <w:r w:rsidR="00145CC8">
        <w:t xml:space="preserve">academic institutions </w:t>
      </w:r>
      <w:r>
        <w:t>must</w:t>
      </w:r>
      <w:r w:rsidR="00145CC8">
        <w:t xml:space="preserve"> support and reinforce a culture of public communication. A poll by </w:t>
      </w:r>
      <w:r w:rsidR="00145CC8">
        <w:rPr>
          <w:i/>
        </w:rPr>
        <w:t>Nature</w:t>
      </w:r>
      <w:r w:rsidR="00145CC8">
        <w:t xml:space="preserve"> revealed that many researchers believe that their academic institutions do not value press exposure and that it is not a factor determinative of career advancement.</w:t>
      </w:r>
      <w:r w:rsidR="00145CC8">
        <w:rPr>
          <w:rStyle w:val="FootnoteReference"/>
        </w:rPr>
        <w:footnoteReference w:id="241"/>
      </w:r>
      <w:r w:rsidR="00145CC8">
        <w:t xml:space="preserve"> There is thus currently little incentive for a junior scientist to allocate valuable time to an evolving measure of performance when the established path of research and publication as dominant criteria remain largely undisturbed. Fortunately, however, this may be changing.</w:t>
      </w:r>
      <w:r w:rsidR="00145CC8">
        <w:rPr>
          <w:rStyle w:val="FootnoteReference"/>
        </w:rPr>
        <w:footnoteReference w:id="242"/>
      </w:r>
      <w:r w:rsidR="00145CC8">
        <w:t xml:space="preserve"> Universities are increasing their support for science communication and perceiving the advantage if communication for fundraising and reaching a wide audience.</w:t>
      </w:r>
      <w:r w:rsidR="00145CC8">
        <w:rPr>
          <w:rStyle w:val="FootnoteReference"/>
        </w:rPr>
        <w:footnoteReference w:id="243"/>
      </w:r>
      <w:r w:rsidR="00145CC8">
        <w:t xml:space="preserve"> As one author summarizes, “Effective communication is an essential part of science for at least two reasons. First, if nobody hears about your work, you might as well have never done it.”</w:t>
      </w:r>
      <w:r w:rsidR="00145CC8">
        <w:rPr>
          <w:rStyle w:val="FootnoteReference"/>
        </w:rPr>
        <w:footnoteReference w:id="244"/>
      </w:r>
      <w:r w:rsidR="00145CC8">
        <w:t xml:space="preserve"> Furthermore, if a scientist does not communicate her work, someone else will, and will likely do so to support their own agenda.</w:t>
      </w:r>
      <w:r w:rsidR="00145CC8">
        <w:rPr>
          <w:rStyle w:val="FootnoteReference"/>
        </w:rPr>
        <w:footnoteReference w:id="245"/>
      </w:r>
      <w:r w:rsidR="00145CC8">
        <w:t xml:space="preserve"> This can potentially discredit both the scientist and her university when misleading perceptions of her work reach the broader public media.</w:t>
      </w:r>
    </w:p>
    <w:p w14:paraId="70DE4AF4" w14:textId="30FA6981" w:rsidR="00145CC8" w:rsidRDefault="00145CC8" w:rsidP="00145CC8"/>
    <w:p w14:paraId="1AEE6FD9" w14:textId="7F38C447" w:rsidR="00145CC8" w:rsidRDefault="00FF1C49" w:rsidP="00145CC8">
      <w:r>
        <w:t>Third, s</w:t>
      </w:r>
      <w:r w:rsidR="00145CC8">
        <w:t xml:space="preserve">cientific journals </w:t>
      </w:r>
      <w:r>
        <w:t>must improve their rigor</w:t>
      </w:r>
      <w:r w:rsidR="00145CC8">
        <w:t>. Scientific journals are big business, with scientific publishing exceeding 25 billion dollars in value with extraordinarily high profit margins.</w:t>
      </w:r>
      <w:r w:rsidR="00145CC8">
        <w:rPr>
          <w:rStyle w:val="FootnoteReference"/>
        </w:rPr>
        <w:footnoteReference w:id="246"/>
      </w:r>
      <w:r w:rsidR="00145CC8">
        <w:t xml:space="preserve"> Publishers are able to produce journals with most of the costs placed on other entities.</w:t>
      </w:r>
      <w:r w:rsidR="00145CC8">
        <w:rPr>
          <w:rStyle w:val="FootnoteReference"/>
        </w:rPr>
        <w:footnoteReference w:id="247"/>
      </w:r>
      <w:r w:rsidR="00145CC8">
        <w:t xml:space="preserve"> Scientists fund their own work through grants, universities pay the scientists for their expertise, and peer reviewers evaluate the validity of the science at no cost.</w:t>
      </w:r>
      <w:r w:rsidR="00145CC8">
        <w:rPr>
          <w:rStyle w:val="FootnoteReference"/>
        </w:rPr>
        <w:footnoteReference w:id="248"/>
      </w:r>
      <w:r w:rsidR="00145CC8">
        <w:t xml:space="preserve"> Publishers then sell the product back to the very universities that created the product in the first place.</w:t>
      </w:r>
      <w:r w:rsidR="00145CC8">
        <w:rPr>
          <w:rStyle w:val="FootnoteReference"/>
        </w:rPr>
        <w:footnoteReference w:id="249"/>
      </w:r>
    </w:p>
    <w:p w14:paraId="05E94A17" w14:textId="77777777" w:rsidR="00145CC8" w:rsidRDefault="00145CC8" w:rsidP="00145CC8"/>
    <w:p w14:paraId="61CBFC11" w14:textId="22C70C11" w:rsidR="00145CC8" w:rsidRDefault="00B31FF4" w:rsidP="00145CC8">
      <w:r>
        <w:t>Fourth</w:t>
      </w:r>
      <w:r w:rsidR="009C5A16">
        <w:t xml:space="preserve">, better policing of unscrupulous journals is needed. </w:t>
      </w:r>
      <w:r w:rsidR="00145CC8">
        <w:t xml:space="preserve">While many scientific publishers are legitimate, that profitability encourages unscrupulous journals that are willing to publish research for a </w:t>
      </w:r>
      <w:r w:rsidR="00145CC8">
        <w:lastRenderedPageBreak/>
        <w:t>fee and with indifference to quality. These journals exist not to advance knowledge, but to generate revenue from submission fees.</w:t>
      </w:r>
      <w:bookmarkStart w:id="34" w:name="_Ref535499881"/>
      <w:r w:rsidR="00145CC8">
        <w:rPr>
          <w:rStyle w:val="FootnoteReference"/>
        </w:rPr>
        <w:footnoteReference w:id="250"/>
      </w:r>
      <w:bookmarkEnd w:id="34"/>
      <w:r w:rsidR="00145CC8">
        <w:t xml:space="preserve"> Peer review is perfunctory or absent and most if not all manuscripts are accepted.</w:t>
      </w:r>
      <w:r w:rsidR="00145CC8">
        <w:rPr>
          <w:rStyle w:val="FootnoteReference"/>
        </w:rPr>
        <w:footnoteReference w:id="251"/>
      </w:r>
      <w:r w:rsidR="00145CC8">
        <w:t xml:space="preserve"> Some of these journals choose names that are deceptively similar </w:t>
      </w:r>
      <w:r w:rsidR="00C21429">
        <w:t xml:space="preserve">to </w:t>
      </w:r>
      <w:r w:rsidR="00145CC8">
        <w:t xml:space="preserve">highly respected outlets, encouraging confusion between legitimate and possibly illegitimate science. For example, the </w:t>
      </w:r>
      <w:r w:rsidR="00145CC8">
        <w:rPr>
          <w:i/>
        </w:rPr>
        <w:t>American Journal of Polymer Science</w:t>
      </w:r>
      <w:r w:rsidR="00145CC8">
        <w:t xml:space="preserve"> has been accused of intentionally confusing readers with the </w:t>
      </w:r>
      <w:r w:rsidR="00145CC8">
        <w:rPr>
          <w:i/>
        </w:rPr>
        <w:t>Journal of Polymer Science</w:t>
      </w:r>
      <w:r w:rsidR="00145CC8">
        <w:t xml:space="preserve">, a long-standing and </w:t>
      </w:r>
      <w:proofErr w:type="gramStart"/>
      <w:r w:rsidR="00145CC8">
        <w:t>well respected</w:t>
      </w:r>
      <w:proofErr w:type="gramEnd"/>
      <w:r w:rsidR="00145CC8">
        <w:t xml:space="preserve"> journal.</w:t>
      </w:r>
      <w:r w:rsidR="00145CC8">
        <w:rPr>
          <w:rStyle w:val="FootnoteReference"/>
        </w:rPr>
        <w:footnoteReference w:id="252"/>
      </w:r>
      <w:r w:rsidR="00145CC8">
        <w:t xml:space="preserve"> Coordinated efforts from a variety of stakeholders to discourage sham journal proliferation have been called for,</w:t>
      </w:r>
      <w:r w:rsidR="00145CC8">
        <w:rPr>
          <w:rStyle w:val="FootnoteReference"/>
        </w:rPr>
        <w:footnoteReference w:id="253"/>
      </w:r>
      <w:r w:rsidR="00145CC8">
        <w:t xml:space="preserve"> but long-term solutions remain elusive. Perhaps one of the most prominent efforts, a blacklist of predatory journals maintained by academic librarian John Beale mysteriously disappeared in 2017.</w:t>
      </w:r>
      <w:r w:rsidR="00145CC8">
        <w:rPr>
          <w:rStyle w:val="FootnoteReference"/>
        </w:rPr>
        <w:footnoteReference w:id="254"/>
      </w:r>
      <w:r w:rsidR="00145CC8">
        <w:t xml:space="preserve"> Cabell’s has published a proprietary successor blacklist, which dedicates greater resources and more transparency to the task than Beale,</w:t>
      </w:r>
      <w:r w:rsidR="00145CC8">
        <w:rPr>
          <w:rStyle w:val="FootnoteReference"/>
        </w:rPr>
        <w:footnoteReference w:id="255"/>
      </w:r>
      <w:r w:rsidR="00145CC8">
        <w:t xml:space="preserve"> but it’s long term impact on sham publishing remains to be seen. </w:t>
      </w:r>
    </w:p>
    <w:p w14:paraId="54FA7FF3" w14:textId="77777777" w:rsidR="00145CC8" w:rsidRDefault="00145CC8" w:rsidP="00145CC8"/>
    <w:p w14:paraId="1248A467" w14:textId="77777777" w:rsidR="003B5809" w:rsidRPr="00C9541F" w:rsidRDefault="00C9541F">
      <w:r>
        <w:rPr>
          <w:i/>
        </w:rPr>
        <w:t>B. Information Intermediaries</w:t>
      </w:r>
      <w:r w:rsidR="00BA6D16">
        <w:rPr>
          <w:i/>
        </w:rPr>
        <w:t>: The Merchants of Fact and Fiction</w:t>
      </w:r>
    </w:p>
    <w:p w14:paraId="07D7AB6F" w14:textId="77777777" w:rsidR="003B5809" w:rsidRDefault="003B5809"/>
    <w:p w14:paraId="23060B33" w14:textId="77777777" w:rsidR="00D13A09" w:rsidRDefault="00D13A09" w:rsidP="00D13A09">
      <w:r>
        <w:t>An information intermediary is an entity that supports or directly disseminates of information in order to increase its value to the consumer or to reduce the costs of information acquisition.</w:t>
      </w:r>
      <w:r>
        <w:rPr>
          <w:rStyle w:val="FootnoteReference"/>
        </w:rPr>
        <w:footnoteReference w:id="256"/>
      </w:r>
      <w:r>
        <w:t xml:space="preserve"> An information intermediary, sometimes referred to as infomediary, can passively retransmit information, frame information to persuade or mislead, or serve a certifying function signaling the trustworthiness of the information provided.</w:t>
      </w:r>
      <w:r>
        <w:rPr>
          <w:rStyle w:val="FootnoteReference"/>
        </w:rPr>
        <w:footnoteReference w:id="257"/>
      </w:r>
      <w:r>
        <w:t xml:space="preserve"> In science, information intermediaries serve a vital function, connecting consumers with highly complex scientific information and distilling that information into a form that is both comprehensible and actionable for a user who may have little to no scientific background.</w:t>
      </w:r>
    </w:p>
    <w:p w14:paraId="53347FF5" w14:textId="77777777" w:rsidR="00D13A09" w:rsidRDefault="00D13A09" w:rsidP="00D13A09"/>
    <w:p w14:paraId="201DAB61" w14:textId="12F7B5F7" w:rsidR="00D13A09" w:rsidRDefault="00D13A09" w:rsidP="00D13A09">
      <w:r>
        <w:t>One type of information intermediary, and one directly relevant to this article, is the press release. Traditionally, a press release is a report of information that is designed</w:t>
      </w:r>
      <w:r w:rsidR="009C5A16">
        <w:t xml:space="preserve"> for use by the media or further republication and </w:t>
      </w:r>
      <w:r>
        <w:t xml:space="preserve">attempts to achieve </w:t>
      </w:r>
      <w:r w:rsidR="009C5A16">
        <w:t xml:space="preserve">various </w:t>
      </w:r>
      <w:r>
        <w:t>rhetorical objectives.</w:t>
      </w:r>
      <w:r>
        <w:rPr>
          <w:rStyle w:val="FootnoteReference"/>
        </w:rPr>
        <w:footnoteReference w:id="258"/>
      </w:r>
      <w:r>
        <w:t xml:space="preserve"> Before the advent of the internet, dissemination of a press release was at the mercy of the goodwill of media outlets.</w:t>
      </w:r>
      <w:r>
        <w:rPr>
          <w:rStyle w:val="FootnoteReference"/>
        </w:rPr>
        <w:footnoteReference w:id="259"/>
      </w:r>
      <w:r>
        <w:t xml:space="preserve"> Online press releases, released from the curation of other institutions, now have direct access to the online consumer. </w:t>
      </w:r>
    </w:p>
    <w:p w14:paraId="119B17E9" w14:textId="77777777" w:rsidR="00D13A09" w:rsidRDefault="00D13A09" w:rsidP="00D13A09"/>
    <w:p w14:paraId="6203EB4C" w14:textId="77777777" w:rsidR="009F75AD" w:rsidRDefault="00D13A09" w:rsidP="00D13A09">
      <w:r>
        <w:lastRenderedPageBreak/>
        <w:t>With this enhanced influence comes a greater responsibility, particularly in the transmission of scientific information. A study of two hundred randomly chosen press releases from academic medical centers found the presence problematic language and the absence of appropriate caution.</w:t>
      </w:r>
      <w:r>
        <w:rPr>
          <w:rStyle w:val="FootnoteReference"/>
        </w:rPr>
        <w:footnoteReference w:id="260"/>
      </w:r>
      <w:r>
        <w:t xml:space="preserve"> Fewer than half of the human studies’ press releases provided any relevant caveats regarding limitations of the original research.</w:t>
      </w:r>
      <w:r>
        <w:rPr>
          <w:rStyle w:val="FootnoteReference"/>
        </w:rPr>
        <w:footnoteReference w:id="261"/>
      </w:r>
      <w:r>
        <w:t xml:space="preserve"> For example, a press release titled, “</w:t>
      </w:r>
      <w:r w:rsidRPr="009409B0">
        <w:t>Lung-sparing treatment for cancer proving effective”</w:t>
      </w:r>
      <w:r>
        <w:t xml:space="preserve"> and concluding that the treatment was “a safe and effective way to treat early stage lung cancer in medically inoperable patients” did not mention that the research was based on an uncontrolled study of seventy participants.</w:t>
      </w:r>
      <w:r>
        <w:rPr>
          <w:rStyle w:val="FootnoteReference"/>
        </w:rPr>
        <w:footnoteReference w:id="262"/>
      </w:r>
      <w:r>
        <w:t xml:space="preserve"> An uncontrolled study is one that lacks a comparison or control group from which to compare the results with the treated group. In contrast to a randomized controlled trial which is considered “the gold standard of clinical research,” uncontrolled trials are considered “very weak clinical evidence.”</w:t>
      </w:r>
      <w:r>
        <w:rPr>
          <w:rStyle w:val="FootnoteReference"/>
        </w:rPr>
        <w:footnoteReference w:id="263"/>
      </w:r>
      <w:r>
        <w:t xml:space="preserve"> While uncontrolled trials are not entirely without utility,</w:t>
      </w:r>
      <w:r>
        <w:rPr>
          <w:rStyle w:val="FootnoteReference"/>
        </w:rPr>
        <w:footnoteReference w:id="264"/>
      </w:r>
      <w:r>
        <w:t xml:space="preserve"> it is a significant enough caveat that is worth mentioning in a press release. </w:t>
      </w:r>
    </w:p>
    <w:p w14:paraId="3B980D6C" w14:textId="77777777" w:rsidR="009F75AD" w:rsidRDefault="009F75AD" w:rsidP="00D13A09"/>
    <w:p w14:paraId="06DAC63E" w14:textId="3FAE1296" w:rsidR="00D13A09" w:rsidRDefault="00D13A09" w:rsidP="00D13A09">
      <w:r>
        <w:t>Regarding press releases from animal or laboratory studies, while most claimed relevance to human health, ninety percent did not provide caveats about extrapolating these results to humans.</w:t>
      </w:r>
      <w:r>
        <w:rPr>
          <w:rStyle w:val="FootnoteReference"/>
        </w:rPr>
        <w:footnoteReference w:id="265"/>
      </w:r>
      <w:r>
        <w:t xml:space="preserve"> Overall, the authors found that 29% of press releases exaggerated the importance of the original research.</w:t>
      </w:r>
      <w:r>
        <w:rPr>
          <w:rStyle w:val="FootnoteReference"/>
        </w:rPr>
        <w:footnoteReference w:id="266"/>
      </w:r>
      <w:r w:rsidR="009F75AD">
        <w:t xml:space="preserve"> </w:t>
      </w:r>
      <w:r>
        <w:t>Another team of authors studied 462 press releases and their associated studies by the top 20 leading UK universities in a single year.</w:t>
      </w:r>
      <w:r>
        <w:rPr>
          <w:rStyle w:val="FootnoteReference"/>
        </w:rPr>
        <w:footnoteReference w:id="267"/>
      </w:r>
      <w:r>
        <w:t xml:space="preserve"> The authors found that 40% of the press releases presented more direct or explicit advice than was provided in the original research.</w:t>
      </w:r>
      <w:r>
        <w:rPr>
          <w:rStyle w:val="FootnoteReference"/>
        </w:rPr>
        <w:footnoteReference w:id="268"/>
      </w:r>
      <w:r>
        <w:t xml:space="preserve"> One-third of press-releases claimed a more strongly deterministic outcome than the original research warranted.</w:t>
      </w:r>
      <w:r>
        <w:rPr>
          <w:rStyle w:val="FootnoteReference"/>
        </w:rPr>
        <w:footnoteReference w:id="269"/>
      </w:r>
      <w:r>
        <w:t xml:space="preserve"> </w:t>
      </w:r>
      <w:r w:rsidR="00CC4769">
        <w:t>Furthermore</w:t>
      </w:r>
      <w:r>
        <w:t>, 36% of press releases summarizing animal, cell, or simulation research inflated their relevance to human applications when compared to the original journal article.</w:t>
      </w:r>
      <w:r>
        <w:rPr>
          <w:rStyle w:val="FootnoteReference"/>
        </w:rPr>
        <w:footnoteReference w:id="270"/>
      </w:r>
    </w:p>
    <w:p w14:paraId="00BF4C36" w14:textId="77777777" w:rsidR="00D13A09" w:rsidRDefault="00D13A09" w:rsidP="00D13A09"/>
    <w:p w14:paraId="45DB624C" w14:textId="77777777" w:rsidR="00D13A09" w:rsidRDefault="00D13A09" w:rsidP="00D13A09">
      <w:r>
        <w:t xml:space="preserve">The repetition of information through multiple information intermediaries, similar to the citation links analyzed here, can have a dramatic impact on the accuracy of the original research presented. In 2015, a team of scientists tracked the media dissemination of an earlier 2012 meta-analysis that found a small but statistically significant relationship between consumption of processed meat consumption and </w:t>
      </w:r>
      <w:r>
        <w:lastRenderedPageBreak/>
        <w:t>pancreatic cancer.</w:t>
      </w:r>
      <w:r>
        <w:rPr>
          <w:rStyle w:val="FootnoteReference"/>
        </w:rPr>
        <w:footnoteReference w:id="271"/>
      </w:r>
      <w:r>
        <w:t xml:space="preserve"> Although the meta-analysis was criticized for its methodology used and potentially overstated interpretations,</w:t>
      </w:r>
      <w:r>
        <w:rPr>
          <w:rStyle w:val="FootnoteReference"/>
        </w:rPr>
        <w:footnoteReference w:id="272"/>
      </w:r>
      <w:r>
        <w:t xml:space="preserve"> it nonetheless attracted the interest of 312 distinct news articles.</w:t>
      </w:r>
      <w:r>
        <w:rPr>
          <w:rStyle w:val="FootnoteReference"/>
        </w:rPr>
        <w:footnoteReference w:id="273"/>
      </w:r>
    </w:p>
    <w:p w14:paraId="5DCD9305" w14:textId="77777777" w:rsidR="00D13A09" w:rsidRDefault="00D13A09" w:rsidP="00D13A09"/>
    <w:p w14:paraId="328E1B1B" w14:textId="77777777" w:rsidR="00D13A09" w:rsidRDefault="00D13A09" w:rsidP="00D13A09">
      <w:r>
        <w:t>Carefully tracing the dissemination of the meta-analysis, the 2015 author team found that information intermediaries played an instrumental role in how accurately the science was reported. Eighty-five percent of the news reports originated from three sources,</w:t>
      </w:r>
      <w:r>
        <w:rPr>
          <w:rStyle w:val="FootnoteReference"/>
        </w:rPr>
        <w:footnoteReference w:id="274"/>
      </w:r>
      <w:r>
        <w:t xml:space="preserve"> essential information intermediaries, and the accuracy of these original sources had a direct bearing on the quality on downstream articles.</w:t>
      </w:r>
      <w:r>
        <w:rPr>
          <w:rStyle w:val="FootnoteReference"/>
        </w:rPr>
        <w:footnoteReference w:id="275"/>
      </w:r>
      <w:r>
        <w:t xml:space="preserve"> Any weaknesses in these original sources were amplified further, taking the perception of the original work even farther from the initial meta-analysis.</w:t>
      </w:r>
      <w:r>
        <w:rPr>
          <w:rStyle w:val="FootnoteReference"/>
        </w:rPr>
        <w:footnoteReference w:id="276"/>
      </w:r>
      <w:r>
        <w:t xml:space="preserve"> The least accurate of the three original sources was the journal’s own press release, resulting in its downstream sources also being the least accurate portrayals of the science.</w:t>
      </w:r>
      <w:r>
        <w:rPr>
          <w:rStyle w:val="FootnoteReference"/>
        </w:rPr>
        <w:footnoteReference w:id="277"/>
      </w:r>
      <w:r>
        <w:t xml:space="preserve"> As a result, an already criticized study was repeated habitually and blindly, with the resulting interpretation by the end user likely to be distantly connected to the true impact of the original work.</w:t>
      </w:r>
      <w:r>
        <w:rPr>
          <w:rStyle w:val="FootnoteReference"/>
        </w:rPr>
        <w:footnoteReference w:id="278"/>
      </w:r>
    </w:p>
    <w:p w14:paraId="6B1E8F2C" w14:textId="77777777" w:rsidR="00D13A09" w:rsidRDefault="00D13A09" w:rsidP="00D13A09"/>
    <w:p w14:paraId="0E67850C" w14:textId="520396B1" w:rsidR="00D13A09" w:rsidRDefault="00D13A09" w:rsidP="00D13A09">
      <w:r>
        <w:t>Of the various information intermediaries, the press release</w:t>
      </w:r>
      <w:r w:rsidR="00250707">
        <w:t xml:space="preserve"> is a </w:t>
      </w:r>
      <w:r>
        <w:t>particular</w:t>
      </w:r>
      <w:r w:rsidR="00250707">
        <w:t>ly</w:t>
      </w:r>
      <w:r>
        <w:t xml:space="preserve"> vulnerable </w:t>
      </w:r>
      <w:r w:rsidR="00250707">
        <w:t>medium for transmit misinterpretatio</w:t>
      </w:r>
      <w:r>
        <w:t>n.</w:t>
      </w:r>
      <w:r w:rsidRPr="000D2E20">
        <w:rPr>
          <w:rStyle w:val="FootnoteReference"/>
        </w:rPr>
        <w:t xml:space="preserve"> </w:t>
      </w:r>
      <w:r>
        <w:rPr>
          <w:rStyle w:val="FootnoteReference"/>
        </w:rPr>
        <w:footnoteReference w:id="279"/>
      </w:r>
      <w:r>
        <w:t xml:space="preserve"> In a time-pressured media environment, journalists rely on press releases to encapsulate scientific knowledge for quick and clear reporting. Press releases, however, need not be so carelessly drafted. A variety of organizations advance useful standards that can guide authors of press releases. The ethical journalism network encourages five principles of journalism – truth and accuracy, independence, fairness and impartiality, humanity, and accountability – that should inform all media publications.</w:t>
      </w:r>
      <w:r>
        <w:rPr>
          <w:rStyle w:val="FootnoteReference"/>
        </w:rPr>
        <w:footnoteReference w:id="280"/>
      </w:r>
      <w:r>
        <w:t xml:space="preserve"> The </w:t>
      </w:r>
      <w:r w:rsidR="00683CC3">
        <w:t xml:space="preserve">code of ethics of the </w:t>
      </w:r>
      <w:r>
        <w:t xml:space="preserve">Society of Professional Journalists </w:t>
      </w:r>
      <w:r w:rsidR="00683CC3">
        <w:t xml:space="preserve">(Society) </w:t>
      </w:r>
      <w:r>
        <w:t>states that “[e]</w:t>
      </w:r>
      <w:proofErr w:type="spellStart"/>
      <w:r>
        <w:t>thical</w:t>
      </w:r>
      <w:proofErr w:type="spellEnd"/>
      <w:r>
        <w:t xml:space="preserve"> journalism strives to ensure the free exchange of information that is accurate, fair and thorough.”</w:t>
      </w:r>
      <w:r>
        <w:rPr>
          <w:rStyle w:val="FootnoteReference"/>
        </w:rPr>
        <w:footnoteReference w:id="281"/>
      </w:r>
      <w:r>
        <w:t xml:space="preserve"> The</w:t>
      </w:r>
      <w:r w:rsidR="00683CC3">
        <w:t xml:space="preserve"> Society’s </w:t>
      </w:r>
      <w:r>
        <w:t>basic principles are: 1) seek truth and report it, 2) minimize harm, 3) act independently, and 4) be accountable and transparent.</w:t>
      </w:r>
      <w:r>
        <w:rPr>
          <w:rStyle w:val="FootnoteReference"/>
        </w:rPr>
        <w:footnoteReference w:id="282"/>
      </w:r>
    </w:p>
    <w:p w14:paraId="5DEE797B" w14:textId="77777777" w:rsidR="00D13A09" w:rsidRDefault="00D13A09" w:rsidP="00D13A09"/>
    <w:p w14:paraId="20B75640" w14:textId="7EDAFC17" w:rsidR="00D13A09" w:rsidRPr="00011CDF" w:rsidRDefault="00D13A09" w:rsidP="00D13A09">
      <w:r>
        <w:t xml:space="preserve">Evaluating information intermediaries in science, however, can benefit from more specific criteria. The </w:t>
      </w:r>
      <w:r>
        <w:rPr>
          <w:i/>
        </w:rPr>
        <w:t>Health News Review</w:t>
      </w:r>
      <w:r>
        <w:t xml:space="preserve"> highlights ten criteria, based on a review of about 2,500 news stories, which all </w:t>
      </w:r>
      <w:r>
        <w:lastRenderedPageBreak/>
        <w:t xml:space="preserve">health care </w:t>
      </w:r>
      <w:r w:rsidR="00683CC3">
        <w:t>related</w:t>
      </w:r>
      <w:r>
        <w:t xml:space="preserve"> news and press releases should possess.</w:t>
      </w:r>
      <w:r>
        <w:rPr>
          <w:rStyle w:val="FootnoteReference"/>
        </w:rPr>
        <w:footnoteReference w:id="283"/>
      </w:r>
      <w:r>
        <w:t xml:space="preserve"> These criteria include adequate discussion of the benefits, harms, and costs of the intervention, as well as an accurate assessment of evidentiary quality, the absence of “disease-mongering”, and reliance on secondary sources.</w:t>
      </w:r>
      <w:r>
        <w:rPr>
          <w:rStyle w:val="FootnoteReference"/>
        </w:rPr>
        <w:footnoteReference w:id="284"/>
      </w:r>
      <w:r>
        <w:t xml:space="preserve"> Such a systematic check of science intermediaries can bring badly needed rigor to the presentation of scientific information to a mass audience.</w:t>
      </w:r>
    </w:p>
    <w:p w14:paraId="5FA38221" w14:textId="77777777" w:rsidR="00D13A09" w:rsidRPr="00F20321" w:rsidRDefault="00D13A09" w:rsidP="00D13A09"/>
    <w:p w14:paraId="1EC41304" w14:textId="77777777" w:rsidR="003B5809" w:rsidRPr="00C9541F" w:rsidRDefault="003B5809">
      <w:pPr>
        <w:rPr>
          <w:i/>
        </w:rPr>
      </w:pPr>
      <w:r w:rsidRPr="00C9541F">
        <w:rPr>
          <w:i/>
        </w:rPr>
        <w:t>C. Consumers and Information Repeaters: The Last Line of Defense</w:t>
      </w:r>
    </w:p>
    <w:p w14:paraId="631A50ED" w14:textId="776C9CEA" w:rsidR="003B5809" w:rsidRDefault="003B5809"/>
    <w:p w14:paraId="09D58C61" w14:textId="742C20BD" w:rsidR="009C5A16" w:rsidRDefault="009C5A16" w:rsidP="009C5A16">
      <w:r>
        <w:t>Consumers are overwhelmed with too much information.</w:t>
      </w:r>
      <w:r>
        <w:rPr>
          <w:rStyle w:val="FootnoteReference"/>
        </w:rPr>
        <w:footnoteReference w:id="285"/>
      </w:r>
      <w:r>
        <w:t xml:space="preserve"> In science, this is not because consumers are presented with reams of original </w:t>
      </w:r>
      <w:r w:rsidR="00625683">
        <w:t>scholarship</w:t>
      </w:r>
      <w:r>
        <w:t xml:space="preserve">. Rather, it is the thousands of information intermediaries that generate the firehose of information from which the consumer is forced to consume scientific information. </w:t>
      </w:r>
    </w:p>
    <w:p w14:paraId="1CCCB32C" w14:textId="740263B1" w:rsidR="009C5A16" w:rsidRDefault="009C5A16"/>
    <w:p w14:paraId="039F7116" w14:textId="14DEE663" w:rsidR="003B5809" w:rsidRDefault="004D5F6E" w:rsidP="003B5809">
      <w:r>
        <w:t>Ideally, scientific information would reach the public th</w:t>
      </w:r>
      <w:r w:rsidR="00C86287">
        <w:t xml:space="preserve">at is </w:t>
      </w:r>
      <w:r w:rsidR="00431E20">
        <w:t xml:space="preserve">measured, </w:t>
      </w:r>
      <w:r w:rsidR="00C86287">
        <w:t xml:space="preserve">accurate, unbiased, </w:t>
      </w:r>
      <w:r>
        <w:t xml:space="preserve">and fully accessible </w:t>
      </w:r>
      <w:r w:rsidR="00C86287">
        <w:t>and applicable by the lay</w:t>
      </w:r>
      <w:r w:rsidR="009C5A16">
        <w:t>person</w:t>
      </w:r>
      <w:r>
        <w:t>.</w:t>
      </w:r>
      <w:r w:rsidR="00C86287">
        <w:t xml:space="preserve"> However, it is inevitable that scientific information will reach the public that </w:t>
      </w:r>
      <w:r w:rsidR="00431E20">
        <w:t xml:space="preserve">fails to meet these expectations. </w:t>
      </w:r>
      <w:r w:rsidR="003B5809">
        <w:t xml:space="preserve">Consumers </w:t>
      </w:r>
      <w:r w:rsidR="00C45006">
        <w:t>sit</w:t>
      </w:r>
      <w:r w:rsidR="003B5809">
        <w:t xml:space="preserve"> at the top of the information food chain, </w:t>
      </w:r>
      <w:r w:rsidR="003B5809">
        <w:lastRenderedPageBreak/>
        <w:t xml:space="preserve">acting both as target market of information </w:t>
      </w:r>
      <w:r w:rsidR="00C45006">
        <w:t xml:space="preserve">and </w:t>
      </w:r>
      <w:r w:rsidR="003B5809">
        <w:t>repeaters of information content.</w:t>
      </w:r>
      <w:r w:rsidR="003B5809">
        <w:rPr>
          <w:rStyle w:val="FootnoteReference"/>
        </w:rPr>
        <w:footnoteReference w:id="286"/>
      </w:r>
      <w:r w:rsidR="003B5809">
        <w:t xml:space="preserve"> The consolidation and personalization of media enable consumers to function within a self-confirming web of ideas that may be wholly inaccurate but comfortably safe and self-satisfying.</w:t>
      </w:r>
      <w:r w:rsidR="003B5809">
        <w:rPr>
          <w:rStyle w:val="FootnoteReference"/>
        </w:rPr>
        <w:footnoteReference w:id="287"/>
      </w:r>
      <w:r w:rsidR="003B5809">
        <w:t xml:space="preserve"> Facebook and other social media only serve to amplify these echo chambers and wall off challenging facts or ideas that do not penetrate their friend network.</w:t>
      </w:r>
      <w:r w:rsidR="003B5809">
        <w:rPr>
          <w:rStyle w:val="FootnoteReference"/>
        </w:rPr>
        <w:footnoteReference w:id="288"/>
      </w:r>
      <w:r w:rsidR="003B5809">
        <w:t xml:space="preserve"> </w:t>
      </w:r>
    </w:p>
    <w:p w14:paraId="071BF523" w14:textId="77777777" w:rsidR="003B5809" w:rsidRDefault="003B5809" w:rsidP="003B5809"/>
    <w:p w14:paraId="5697F643" w14:textId="77777777" w:rsidR="003B5809" w:rsidRDefault="003B5809" w:rsidP="003B5809">
      <w:r>
        <w:t>Blogs and other contributions to the open web can also substantially impact the diffusion of information. Individuals without any scientific background, or with an anti-science agenda, can contribute information online that is freely searchable and available. No formal disincentive exists for posting scientific information that is false or misleading. Posting such information may also be attractive in that outlandish or extreme claims can attract more interest than ones that are more careful or nuanced.</w:t>
      </w:r>
    </w:p>
    <w:p w14:paraId="1ECF4B2C" w14:textId="77777777" w:rsidR="003B5809" w:rsidRDefault="003B5809" w:rsidP="003B5809"/>
    <w:p w14:paraId="1183A0DE" w14:textId="4FC8AFDA" w:rsidR="003B5809" w:rsidRDefault="003B5809" w:rsidP="003B5809">
      <w:r>
        <w:t>Popular search engines, the gateway to online knowledge for many, may amplify the problem. Search engines cannot evaluate every result for its accuracy and integrity, and thus search results may be heavily populated with false or misleading claims. Results are geared toward the individual, creating a recursive loop of information based in part upon query history, geographic location, and marketing profile.</w:t>
      </w:r>
      <w:r>
        <w:rPr>
          <w:rStyle w:val="FootnoteReference"/>
        </w:rPr>
        <w:footnoteReference w:id="289"/>
      </w:r>
      <w:r>
        <w:t xml:space="preserve"> Offering multiple results, as search engines do, can be helpful, but millions of results from a single search just produces information overload. Users reasonably look for shortcuts, and </w:t>
      </w:r>
      <w:r w:rsidR="00683CC3">
        <w:t>search engine G</w:t>
      </w:r>
      <w:r>
        <w:t>oogle provides just such a tool. Click the “I feel lucky!” button, and google decides for you, taking you to the first site that its algorithms determine will best answer your question.</w:t>
      </w:r>
      <w:r w:rsidR="00683CC3">
        <w:rPr>
          <w:rStyle w:val="FootnoteReference"/>
        </w:rPr>
        <w:footnoteReference w:id="290"/>
      </w:r>
      <w:r>
        <w:t xml:space="preserve"> </w:t>
      </w:r>
    </w:p>
    <w:p w14:paraId="1B9D0ED5" w14:textId="77777777" w:rsidR="003B5809" w:rsidRDefault="003B5809" w:rsidP="003B5809"/>
    <w:p w14:paraId="734ECC88" w14:textId="62DA6702" w:rsidR="003B5809" w:rsidRDefault="003B5809" w:rsidP="003B5809">
      <w:r>
        <w:t xml:space="preserve">An online search for scientific information related to autism highlights this problem. Although autism is uniformly agreed not to be contagious, with countless websites stating just that, the </w:t>
      </w:r>
      <w:r w:rsidR="00797AB7">
        <w:t>until recently</w:t>
      </w:r>
      <w:r>
        <w:t xml:space="preserve"> first result from a google search of the question “Is autism contagious?” is a website titled “New Research Shows that Autism is Contagious.”</w:t>
      </w:r>
      <w:bookmarkStart w:id="35" w:name="_Ref535500839"/>
      <w:r>
        <w:rPr>
          <w:rStyle w:val="FootnoteReference"/>
        </w:rPr>
        <w:footnoteReference w:id="291"/>
      </w:r>
      <w:bookmarkEnd w:id="35"/>
      <w:r>
        <w:t xml:space="preserve"> Similar searches on popular search engines Bing and Yahoo! report this </w:t>
      </w:r>
      <w:r w:rsidR="00797AB7">
        <w:t xml:space="preserve">misleading </w:t>
      </w:r>
      <w:r>
        <w:t xml:space="preserve">website as the </w:t>
      </w:r>
      <w:r w:rsidR="00797AB7">
        <w:t xml:space="preserve">first </w:t>
      </w:r>
      <w:r>
        <w:t>search result.</w:t>
      </w:r>
    </w:p>
    <w:p w14:paraId="52E869A5" w14:textId="77777777" w:rsidR="003B5809" w:rsidRDefault="003B5809" w:rsidP="003B5809"/>
    <w:p w14:paraId="3929B842" w14:textId="60906664" w:rsidR="003B5809" w:rsidRDefault="003B5809" w:rsidP="003B5809">
      <w:r>
        <w:t xml:space="preserve">It is unclear why the algorithms of Google, Yahoo!, and Bing all prefer to elevate this page to the near top of a search that returns </w:t>
      </w:r>
      <w:r w:rsidR="004B1184">
        <w:t xml:space="preserve">approximately </w:t>
      </w:r>
      <w:r w:rsidR="00C0156F">
        <w:t xml:space="preserve">2,400,000, </w:t>
      </w:r>
      <w:r w:rsidR="00BF5F0A">
        <w:t xml:space="preserve">13,600,000, and </w:t>
      </w:r>
      <w:r w:rsidR="00C0156F">
        <w:t xml:space="preserve">13,600,000 </w:t>
      </w:r>
      <w:r w:rsidR="00BF5F0A">
        <w:t>results respectively.</w:t>
      </w:r>
      <w:r w:rsidR="00BF5F0A">
        <w:rPr>
          <w:rStyle w:val="FootnoteReference"/>
        </w:rPr>
        <w:footnoteReference w:id="292"/>
      </w:r>
      <w:r w:rsidR="004B1184">
        <w:t xml:space="preserve"> T</w:t>
      </w:r>
      <w:r>
        <w:t>he title</w:t>
      </w:r>
      <w:r w:rsidR="004B1184">
        <w:t>, however,</w:t>
      </w:r>
      <w:r>
        <w:t xml:space="preserve"> is clickbait. The author begins with an initial misdirect that the author has been performing an intense eight year study on the subject and that she lacks tables or other data because the author self-describes as “lazy” and does not “think you </w:t>
      </w:r>
      <w:r w:rsidRPr="00EB2C70">
        <w:t>can accurately chart a humans behavior and be consistent and precise.</w:t>
      </w:r>
      <w:r>
        <w:t>”</w:t>
      </w:r>
      <w:r>
        <w:rPr>
          <w:rStyle w:val="FootnoteReference"/>
        </w:rPr>
        <w:footnoteReference w:id="293"/>
      </w:r>
      <w:r>
        <w:t xml:space="preserve"> The author then explains that it is the joys that autism brings to her life that are contagious.</w:t>
      </w:r>
      <w:r>
        <w:rPr>
          <w:rStyle w:val="FootnoteReference"/>
        </w:rPr>
        <w:footnoteReference w:id="294"/>
      </w:r>
      <w:r>
        <w:t xml:space="preserve"> The author ultimately does not claim that autism is contagious in the usual sense, but that does little to mitigate the harm of the misdirect. Most web users do not read </w:t>
      </w:r>
      <w:r>
        <w:lastRenderedPageBreak/>
        <w:t>online content word-for-word.</w:t>
      </w:r>
      <w:r>
        <w:rPr>
          <w:rStyle w:val="FootnoteReference"/>
        </w:rPr>
        <w:footnoteReference w:id="295"/>
      </w:r>
      <w:r>
        <w:t xml:space="preserve"> Instead, users generally skim the pages seeking highlighted contents or headings.</w:t>
      </w:r>
      <w:r>
        <w:rPr>
          <w:rStyle w:val="FootnoteReference"/>
        </w:rPr>
        <w:footnoteReference w:id="296"/>
      </w:r>
      <w:r>
        <w:t xml:space="preserve"> A majority of users share articles without even reading them, judging their content entirely by the title.</w:t>
      </w:r>
      <w:r>
        <w:rPr>
          <w:rStyle w:val="FootnoteReference"/>
        </w:rPr>
        <w:footnoteReference w:id="297"/>
      </w:r>
      <w:r>
        <w:t xml:space="preserve"> One can only speculate</w:t>
      </w:r>
      <w:r w:rsidR="00AE504A">
        <w:t xml:space="preserve"> </w:t>
      </w:r>
      <w:r>
        <w:t>how many readers either viewed the title or scanned the first few paragraphs and came away believing that scientific research supported the idea that autis</w:t>
      </w:r>
      <w:r w:rsidR="008F5DF6">
        <w:t xml:space="preserve">m is contagious between humans. </w:t>
      </w:r>
      <w:r w:rsidR="00AE504A">
        <w:t xml:space="preserve">A request by an anonymous individual in the </w:t>
      </w:r>
      <w:r w:rsidR="006F6920">
        <w:t xml:space="preserve">blog </w:t>
      </w:r>
      <w:r w:rsidR="00AE504A">
        <w:t xml:space="preserve">comment section to “think about the headline and what implications that could mean for people that have not a lot of education, that read a very short amount, and may go on to spread misinformation,” </w:t>
      </w:r>
      <w:r w:rsidR="007C18FB">
        <w:t>was not answered</w:t>
      </w:r>
      <w:r w:rsidR="00AE504A">
        <w:t>.</w:t>
      </w:r>
      <w:r w:rsidR="00AE504A">
        <w:rPr>
          <w:rStyle w:val="FootnoteReference"/>
        </w:rPr>
        <w:footnoteReference w:id="298"/>
      </w:r>
      <w:r w:rsidR="007C18FB">
        <w:t xml:space="preserve"> </w:t>
      </w:r>
      <w:r>
        <w:t xml:space="preserve">It is in this online environment, vulnerable to echo chambers and skimming of information, in which the </w:t>
      </w:r>
      <w:r w:rsidR="008363F6">
        <w:t>Blog</w:t>
      </w:r>
      <w:r w:rsidR="007C18FB">
        <w:t xml:space="preserve">, Feature, Press Release, and Review present their </w:t>
      </w:r>
      <w:r>
        <w:t>contribution.</w:t>
      </w:r>
    </w:p>
    <w:p w14:paraId="48F4535A" w14:textId="77777777" w:rsidR="0012754B" w:rsidRDefault="0012754B" w:rsidP="003B5809"/>
    <w:p w14:paraId="602E719E" w14:textId="53E8EB17" w:rsidR="0012754B" w:rsidRDefault="0012754B" w:rsidP="0012754B">
      <w:pPr>
        <w:tabs>
          <w:tab w:val="left" w:pos="3274"/>
        </w:tabs>
      </w:pPr>
      <w:r>
        <w:t>By the time content the reaches final consumer, the best defense against scientific misunderstanding are the dual literacies of science and media. Scientific literacy encompasses two concepts.</w:t>
      </w:r>
      <w:bookmarkStart w:id="36" w:name="_Ref535501429"/>
      <w:r>
        <w:rPr>
          <w:rStyle w:val="FootnoteReference"/>
        </w:rPr>
        <w:footnoteReference w:id="299"/>
      </w:r>
      <w:bookmarkEnd w:id="36"/>
      <w:r>
        <w:t xml:space="preserve"> </w:t>
      </w:r>
      <w:r w:rsidR="00C45006">
        <w:t>First, scientific literacy i</w:t>
      </w:r>
      <w:r>
        <w:t>s the ability to comprehend scientific information.</w:t>
      </w:r>
      <w:bookmarkStart w:id="37" w:name="_Ref535501253"/>
      <w:r>
        <w:rPr>
          <w:rStyle w:val="FootnoteReference"/>
        </w:rPr>
        <w:footnoteReference w:id="300"/>
      </w:r>
      <w:bookmarkEnd w:id="37"/>
      <w:r>
        <w:t xml:space="preserve"> If a reader cannot cognitively process science, then no further use of that information can occur. The second is the ability to apply that information effectively. The ability to operationalize scientific </w:t>
      </w:r>
      <w:r w:rsidR="00C45006">
        <w:t xml:space="preserve">knowledge </w:t>
      </w:r>
      <w:r>
        <w:t>in a practical way is essential for both private decision making and public engagement with technological and scientific controversies.</w:t>
      </w:r>
      <w:r>
        <w:rPr>
          <w:rStyle w:val="FootnoteReference"/>
        </w:rPr>
        <w:footnoteReference w:id="301"/>
      </w:r>
      <w:r>
        <w:t xml:space="preserve"> This understanding must be based upon not merely a grasp of scientific facts, but also a comprehension of the nature of science and its processes.</w:t>
      </w:r>
      <w:r>
        <w:rPr>
          <w:rStyle w:val="FootnoteReference"/>
        </w:rPr>
        <w:footnoteReference w:id="302"/>
      </w:r>
      <w:r>
        <w:t xml:space="preserve"> Rigorous science education in schools and training in critical thinking improve an individual’s ability and confidence to evaluate scientific facts.</w:t>
      </w:r>
      <w:r>
        <w:rPr>
          <w:rStyle w:val="FootnoteReference"/>
        </w:rPr>
        <w:footnoteReference w:id="303"/>
      </w:r>
      <w:r>
        <w:t xml:space="preserve"> </w:t>
      </w:r>
      <w:r w:rsidR="00C45006">
        <w:t>Civic</w:t>
      </w:r>
      <w:r>
        <w:t xml:space="preserve"> engagement does not merely increase political knowledge, but also enhances an individual’s willingness to engage with science-based political issues more objectively, reasonably, and critically.</w:t>
      </w:r>
      <w:r>
        <w:rPr>
          <w:rStyle w:val="FootnoteReference"/>
        </w:rPr>
        <w:footnoteReference w:id="304"/>
      </w:r>
    </w:p>
    <w:p w14:paraId="3A83089C" w14:textId="77777777" w:rsidR="0012754B" w:rsidRDefault="0012754B" w:rsidP="0012754B">
      <w:pPr>
        <w:tabs>
          <w:tab w:val="left" w:pos="3274"/>
        </w:tabs>
      </w:pPr>
    </w:p>
    <w:p w14:paraId="4FEE1B8B" w14:textId="278EA21A" w:rsidR="0012754B" w:rsidRDefault="00C45006" w:rsidP="0012754B">
      <w:pPr>
        <w:tabs>
          <w:tab w:val="left" w:pos="3274"/>
        </w:tabs>
      </w:pPr>
      <w:r>
        <w:t>Second, m</w:t>
      </w:r>
      <w:r w:rsidR="0012754B">
        <w:t>edia literacy is also essential. Media literacy is the ability to understand the nature of communications, and in particular communications related to mass media and online content.</w:t>
      </w:r>
      <w:r w:rsidR="0012754B">
        <w:rPr>
          <w:rStyle w:val="FootnoteReference"/>
        </w:rPr>
        <w:footnoteReference w:id="305"/>
      </w:r>
      <w:r w:rsidR="0012754B">
        <w:t xml:space="preserve"> Media literacy helps consumers “understand, to produce and negotiate meanings in a culture of image words and sounds.</w:t>
      </w:r>
      <w:r w:rsidR="0012754B">
        <w:rPr>
          <w:rStyle w:val="FootnoteReference"/>
        </w:rPr>
        <w:footnoteReference w:id="306"/>
      </w:r>
      <w:r w:rsidR="0012754B">
        <w:t xml:space="preserve"> Like scientific literacy, media literacy requires critical assessment of information, </w:t>
      </w:r>
      <w:r w:rsidR="0012754B">
        <w:lastRenderedPageBreak/>
        <w:t>evaluation of the nature of the source of the information, and a civic activity that is bound with moral and social implications.</w:t>
      </w:r>
      <w:r w:rsidR="0012754B">
        <w:rPr>
          <w:rStyle w:val="FootnoteReference"/>
        </w:rPr>
        <w:footnoteReference w:id="307"/>
      </w:r>
      <w:r w:rsidR="0012754B">
        <w:t xml:space="preserve"> Media literacy also encompasses access to content, particularly technological access, and the potential evolution of information have’s and have-not’s.</w:t>
      </w:r>
      <w:r w:rsidR="0012754B">
        <w:rPr>
          <w:rStyle w:val="FootnoteReference"/>
        </w:rPr>
        <w:footnoteReference w:id="308"/>
      </w:r>
      <w:r w:rsidR="0012754B">
        <w:t xml:space="preserve"> Media literacy also addresses content creation and the ability of the creator to improve his or her critical competencies.</w:t>
      </w:r>
      <w:r w:rsidR="0012754B">
        <w:rPr>
          <w:rStyle w:val="FootnoteReference"/>
        </w:rPr>
        <w:footnoteReference w:id="309"/>
      </w:r>
      <w:r w:rsidR="0012754B">
        <w:t xml:space="preserve"> </w:t>
      </w:r>
    </w:p>
    <w:p w14:paraId="11A408AD" w14:textId="77777777" w:rsidR="0012754B" w:rsidRDefault="0012754B" w:rsidP="0012754B">
      <w:pPr>
        <w:tabs>
          <w:tab w:val="left" w:pos="3274"/>
        </w:tabs>
      </w:pPr>
    </w:p>
    <w:p w14:paraId="5CED9D4D" w14:textId="191F2B39" w:rsidR="0012754B" w:rsidRDefault="0012754B" w:rsidP="0012754B">
      <w:pPr>
        <w:tabs>
          <w:tab w:val="left" w:pos="3274"/>
        </w:tabs>
      </w:pPr>
      <w:r>
        <w:t>Media literacy can be effective in an educational context, whereby teachers instruct students on the effective and critical processing of media-obtained information.</w:t>
      </w:r>
      <w:r>
        <w:rPr>
          <w:rStyle w:val="FootnoteReference"/>
        </w:rPr>
        <w:footnoteReference w:id="310"/>
      </w:r>
      <w:r>
        <w:t xml:space="preserve"> Beyond the classroom media literacy can be improved through private or publicly funded education campaigns.</w:t>
      </w:r>
      <w:r>
        <w:rPr>
          <w:rStyle w:val="FootnoteReference"/>
        </w:rPr>
        <w:footnoteReference w:id="311"/>
      </w:r>
      <w:r>
        <w:t xml:space="preserve"> Facebook, for example, is partnering with non-profit group Newseum to improve and distribute media literacy resources.</w:t>
      </w:r>
      <w:r>
        <w:rPr>
          <w:rStyle w:val="FootnoteReference"/>
        </w:rPr>
        <w:footnoteReference w:id="312"/>
      </w:r>
      <w:r>
        <w:t xml:space="preserve"> The Center for Media Literacy has developed five core concepts that consumers should ask when </w:t>
      </w:r>
      <w:r w:rsidR="00106A2E">
        <w:t>encountering</w:t>
      </w:r>
      <w:r>
        <w:t xml:space="preserve"> </w:t>
      </w:r>
      <w:r w:rsidR="00106A2E">
        <w:t>new</w:t>
      </w:r>
      <w:r>
        <w:t xml:space="preserve"> content.</w:t>
      </w:r>
      <w:r>
        <w:rPr>
          <w:rStyle w:val="FootnoteReference"/>
        </w:rPr>
        <w:footnoteReference w:id="313"/>
      </w:r>
      <w:r>
        <w:t xml:space="preserve"> The purpose of these concepts and questions is to build a habit for individuals to challenge media messages more effectively and thereby improve understanding.</w:t>
      </w:r>
      <w:r>
        <w:rPr>
          <w:rStyle w:val="FootnoteReference"/>
        </w:rPr>
        <w:footnoteReference w:id="314"/>
      </w:r>
      <w:r>
        <w:t xml:space="preserve"> The state of media literacy in the United States is</w:t>
      </w:r>
      <w:r w:rsidR="00106A2E">
        <w:t xml:space="preserve"> perceived as </w:t>
      </w:r>
      <w:r>
        <w:t>“bleak” and “dismaying</w:t>
      </w:r>
      <w:r w:rsidR="00106A2E">
        <w:t>”, especially among students.</w:t>
      </w:r>
      <w:r>
        <w:rPr>
          <w:rStyle w:val="FootnoteReference"/>
        </w:rPr>
        <w:footnoteReference w:id="315"/>
      </w:r>
      <w:r>
        <w:t xml:space="preserve"> However, media literacy is a long-term solution to a long-term problem,</w:t>
      </w:r>
      <w:r>
        <w:rPr>
          <w:rStyle w:val="FootnoteReference"/>
        </w:rPr>
        <w:footnoteReference w:id="316"/>
      </w:r>
      <w:r>
        <w:t xml:space="preserve"> and combined with campaigns supporting scientific literacy represent a meaningful last line of defense against false or misleading content.</w:t>
      </w:r>
    </w:p>
    <w:p w14:paraId="61E9E004" w14:textId="77777777" w:rsidR="0012754B" w:rsidRDefault="0012754B" w:rsidP="003B5809"/>
    <w:p w14:paraId="6443D251" w14:textId="77777777" w:rsidR="00594E0F" w:rsidRPr="00594E0F" w:rsidRDefault="00594E0F" w:rsidP="003B5809">
      <w:pPr>
        <w:rPr>
          <w:b/>
        </w:rPr>
      </w:pPr>
      <w:r>
        <w:rPr>
          <w:b/>
        </w:rPr>
        <w:t xml:space="preserve">VII. </w:t>
      </w:r>
      <w:r w:rsidRPr="00594E0F">
        <w:rPr>
          <w:b/>
        </w:rPr>
        <w:t>Conclusion</w:t>
      </w:r>
    </w:p>
    <w:p w14:paraId="18E8579A" w14:textId="77777777" w:rsidR="00594E0F" w:rsidRDefault="00594E0F" w:rsidP="00594E0F"/>
    <w:p w14:paraId="2475712F" w14:textId="45250546" w:rsidR="00600D58" w:rsidRDefault="00600D58" w:rsidP="00594E0F">
      <w:r>
        <w:t>The objective understanding of scientific knowledge is essential to the development of effective and evidence-based public policy.</w:t>
      </w:r>
      <w:r w:rsidR="00BA0A53">
        <w:t xml:space="preserve"> Major legal and policy issues ranging from public health to environmental protection to intellectual property all have significant grounding in science-based facts and knowledge.</w:t>
      </w:r>
      <w:r w:rsidR="008F7C74">
        <w:t xml:space="preserve"> How this knowledge can be transmitted accurately from scientist to public and policymaker is just as important as the substance of the underlying policy developed.</w:t>
      </w:r>
    </w:p>
    <w:p w14:paraId="4883E16E" w14:textId="77777777" w:rsidR="00600D58" w:rsidRDefault="00600D58" w:rsidP="00594E0F"/>
    <w:p w14:paraId="066C0C23" w14:textId="31F67C5D" w:rsidR="00594E0F" w:rsidRDefault="00594E0F" w:rsidP="00594E0F">
      <w:r>
        <w:t xml:space="preserve">As shown by this citation analysis, the communication of scientific fact and its separation from scientific fiction is a challenging task. This is particularly true when subtle and qualified scientific knowledge must pass through a number of intermediaries with varying levels of scientific expertise. What began as a concept that HFCS consumption might, through a complex interaction of variables, be responsible for the U.S. autism epidemic, ended with an unqualified claim that the consumption of GMOs causes autism. Put simply, the game of telephone between scientist and consumer had completely broken down. Each incremental misinterpretation by intervening sources took the cited claim farther away from its source. The claim that GMOs </w:t>
      </w:r>
      <w:proofErr w:type="gramStart"/>
      <w:r>
        <w:t>cause</w:t>
      </w:r>
      <w:proofErr w:type="gramEnd"/>
      <w:r>
        <w:t xml:space="preserve"> autism </w:t>
      </w:r>
      <w:r w:rsidR="00085D28">
        <w:t>is</w:t>
      </w:r>
      <w:r>
        <w:t xml:space="preserve"> not backed by original scientific research or any scientific research. One supposition simply cited another, creating a harmful recycling of speculation masquerading as scientific fact.</w:t>
      </w:r>
      <w:r w:rsidR="00812AB1">
        <w:t xml:space="preserve"> The result is that regulatory policy related to both GMOs and autism could be impaired as a result of faulty transmission of knowledge.</w:t>
      </w:r>
    </w:p>
    <w:p w14:paraId="7A1A3FA7" w14:textId="77777777" w:rsidR="00594E0F" w:rsidRDefault="00594E0F" w:rsidP="003B5809"/>
    <w:p w14:paraId="5C08D88F" w14:textId="175D1679" w:rsidR="002C4238" w:rsidRDefault="00EB03D0" w:rsidP="003B5809">
      <w:r>
        <w:t xml:space="preserve">Information providers, intermediaries, and consumers all share responsibility in managing scientific </w:t>
      </w:r>
      <w:r w:rsidR="00F86DE2">
        <w:t>communication</w:t>
      </w:r>
      <w:r>
        <w:t>.</w:t>
      </w:r>
      <w:r w:rsidR="008A3D7D">
        <w:t xml:space="preserve"> This article </w:t>
      </w:r>
      <w:r w:rsidR="00D540B0">
        <w:t>presents</w:t>
      </w:r>
      <w:r w:rsidR="008A3D7D">
        <w:t xml:space="preserve"> an example of how information can be distorted and what steps can be taken to alleviate it in the future.</w:t>
      </w:r>
    </w:p>
    <w:p w14:paraId="5A68DF8E" w14:textId="77777777" w:rsidR="002C4238" w:rsidRDefault="002C4238">
      <w:r>
        <w:br w:type="page"/>
      </w:r>
    </w:p>
    <w:p w14:paraId="17D51472" w14:textId="77777777" w:rsidR="00195126" w:rsidRDefault="00195126" w:rsidP="002C4238">
      <w:pPr>
        <w:jc w:val="center"/>
        <w:sectPr w:rsidR="00195126">
          <w:footerReference w:type="default" r:id="rId9"/>
          <w:pgSz w:w="12240" w:h="15840"/>
          <w:pgMar w:top="1440" w:right="1440" w:bottom="1440" w:left="1440" w:header="720" w:footer="720" w:gutter="0"/>
          <w:cols w:space="720"/>
          <w:docGrid w:linePitch="360"/>
        </w:sectPr>
      </w:pPr>
    </w:p>
    <w:p w14:paraId="647E0A44" w14:textId="77777777" w:rsidR="00EB03D0" w:rsidRDefault="002C4238" w:rsidP="002C4238">
      <w:pPr>
        <w:jc w:val="center"/>
      </w:pPr>
      <w:r>
        <w:lastRenderedPageBreak/>
        <w:t>Exhibit 1</w:t>
      </w:r>
    </w:p>
    <w:p w14:paraId="525CBD07" w14:textId="77777777" w:rsidR="002C4238" w:rsidRDefault="002C4238" w:rsidP="002C4238">
      <w:pPr>
        <w:jc w:val="center"/>
      </w:pPr>
      <w:r>
        <w:t>Citation Analysis of Claim that GMOs Cause Autism</w:t>
      </w:r>
    </w:p>
    <w:p w14:paraId="4ACC85B7" w14:textId="77777777" w:rsidR="002C4238" w:rsidRDefault="002C4238" w:rsidP="00195126"/>
    <w:p w14:paraId="2332A4F5" w14:textId="4E1D1AA3" w:rsidR="00195126" w:rsidRPr="003B5809" w:rsidRDefault="00FE0258" w:rsidP="00195126">
      <w:r>
        <w:rPr>
          <w:noProof/>
        </w:rPr>
        <w:object w:dxaOrig="14620" w:dyaOrig="8780" w14:anchorId="00B4D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7.35pt;height:389.45pt;mso-width-percent:0;mso-height-percent:0;mso-width-percent:0;mso-height-percent:0" o:ole="">
            <v:imagedata r:id="rId10" o:title=""/>
          </v:shape>
          <o:OLEObject Type="Embed" ProgID="Visio.Drawing.15" ShapeID="_x0000_i1025" DrawAspect="Content" ObjectID="_1615392694" r:id="rId11"/>
        </w:object>
      </w:r>
    </w:p>
    <w:sectPr w:rsidR="00195126" w:rsidRPr="003B5809" w:rsidSect="001951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48245" w14:textId="77777777" w:rsidR="00BF48DB" w:rsidRDefault="00BF48DB" w:rsidP="009D4E82">
      <w:r>
        <w:separator/>
      </w:r>
    </w:p>
  </w:endnote>
  <w:endnote w:type="continuationSeparator" w:id="0">
    <w:p w14:paraId="1377B8A9" w14:textId="77777777" w:rsidR="00BF48DB" w:rsidRDefault="00BF48DB" w:rsidP="009D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68749"/>
      <w:docPartObj>
        <w:docPartGallery w:val="Page Numbers (Bottom of Page)"/>
        <w:docPartUnique/>
      </w:docPartObj>
    </w:sdtPr>
    <w:sdtEndPr>
      <w:rPr>
        <w:noProof/>
      </w:rPr>
    </w:sdtEndPr>
    <w:sdtContent>
      <w:p w14:paraId="76741E05" w14:textId="6B9FE59E" w:rsidR="00BF48DB" w:rsidRDefault="00BF48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0AC76" w14:textId="77777777" w:rsidR="00BF48DB" w:rsidRDefault="00BF48DB">
    <w:pPr>
      <w:pStyle w:val="Footer"/>
    </w:pPr>
    <w:r>
      <w:t>Draft – Please do not cite or quote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6693" w14:textId="77777777" w:rsidR="00BF48DB" w:rsidRDefault="00BF48DB" w:rsidP="009D4E82">
      <w:r>
        <w:separator/>
      </w:r>
    </w:p>
  </w:footnote>
  <w:footnote w:type="continuationSeparator" w:id="0">
    <w:p w14:paraId="28087919" w14:textId="77777777" w:rsidR="00BF48DB" w:rsidRDefault="00BF48DB" w:rsidP="009D4E82">
      <w:r>
        <w:continuationSeparator/>
      </w:r>
    </w:p>
  </w:footnote>
  <w:footnote w:id="1">
    <w:p w14:paraId="6FA37B3B" w14:textId="46C28239" w:rsidR="00BF48DB" w:rsidRDefault="00BF48DB" w:rsidP="007C1291">
      <w:pPr>
        <w:pStyle w:val="FootnoteText"/>
      </w:pPr>
      <w:r>
        <w:rPr>
          <w:rStyle w:val="FootnoteReference"/>
        </w:rPr>
        <w:t>*</w:t>
      </w:r>
      <w:r>
        <w:t xml:space="preserve"> Professor of Business Law and Eversource Energy Chair in Business Ethics, School of Business, University of Connecticut. My thanks to comments and support go to members of the University of Connecticut Institute for Systems Genomics and attendees of the 2018 Academy of Legal Studies in Business Annual meeting, at which earlier versions of this project were presented. I appreciate scientific feedback from Judy Brown, Michael O’Neill, and Rachel O’Neill. I thank Hee Mok Park for guidance with selected Korean language sources. Thanks to Chris Covucci for research assistance. All errors and omissions are my own.</w:t>
      </w:r>
    </w:p>
  </w:footnote>
  <w:footnote w:id="2">
    <w:p w14:paraId="7C67D2C6" w14:textId="033E5A97" w:rsidR="00BF48DB" w:rsidRDefault="00BF48DB">
      <w:pPr>
        <w:pStyle w:val="FootnoteText"/>
      </w:pPr>
      <w:r>
        <w:rPr>
          <w:rStyle w:val="FootnoteReference"/>
        </w:rPr>
        <w:footnoteRef/>
      </w:r>
      <w:r>
        <w:t xml:space="preserve"> </w:t>
      </w:r>
      <w:r w:rsidRPr="00132189">
        <w:rPr>
          <w:smallCaps/>
        </w:rPr>
        <w:t xml:space="preserve">Mark </w:t>
      </w:r>
      <w:proofErr w:type="spellStart"/>
      <w:r w:rsidRPr="00132189">
        <w:rPr>
          <w:smallCaps/>
        </w:rPr>
        <w:t>Slouka</w:t>
      </w:r>
      <w:proofErr w:type="spellEnd"/>
      <w:r w:rsidRPr="00132189">
        <w:rPr>
          <w:smallCaps/>
        </w:rPr>
        <w:t>, War of the Worlds: Cyber</w:t>
      </w:r>
      <w:r>
        <w:rPr>
          <w:smallCaps/>
        </w:rPr>
        <w:t>s</w:t>
      </w:r>
      <w:r w:rsidRPr="00132189">
        <w:rPr>
          <w:smallCaps/>
        </w:rPr>
        <w:t>pace and the High-Tech Assault on Reality</w:t>
      </w:r>
      <w:r>
        <w:rPr>
          <w:smallCaps/>
        </w:rPr>
        <w:t xml:space="preserve"> 2 (1995).</w:t>
      </w:r>
    </w:p>
  </w:footnote>
  <w:footnote w:id="3">
    <w:p w14:paraId="575B7FA5" w14:textId="4660C9B7" w:rsidR="00BF48DB" w:rsidRPr="007A0A02" w:rsidRDefault="00BF48DB">
      <w:pPr>
        <w:pStyle w:val="FootnoteText"/>
      </w:pPr>
      <w:r>
        <w:rPr>
          <w:rStyle w:val="FootnoteReference"/>
        </w:rPr>
        <w:footnoteRef/>
      </w:r>
      <w:r>
        <w:t xml:space="preserve"> </w:t>
      </w:r>
      <w:r>
        <w:rPr>
          <w:i/>
        </w:rPr>
        <w:t>Id.</w:t>
      </w:r>
      <w:r>
        <w:t xml:space="preserve"> The game of telephone, also known as Chinese whispers, has been used as a mechanism for examining communication in a variety of academic contexts. </w:t>
      </w:r>
      <w:r>
        <w:rPr>
          <w:i/>
        </w:rPr>
        <w:t>See, e.g.,</w:t>
      </w:r>
      <w:r>
        <w:t xml:space="preserve"> Taylor N. Carlson, </w:t>
      </w:r>
      <w:r w:rsidRPr="007A0A02">
        <w:rPr>
          <w:i/>
        </w:rPr>
        <w:t>Modeling Political Information Transmission as a Game of Telephone</w:t>
      </w:r>
      <w:r>
        <w:t xml:space="preserve">, 80 </w:t>
      </w:r>
      <w:r>
        <w:rPr>
          <w:smallCaps/>
        </w:rPr>
        <w:t>J. Pol.</w:t>
      </w:r>
      <w:r>
        <w:t xml:space="preserve"> 348, 351-52 (2018) (tracking diffusion of political information through individual communication chains); </w:t>
      </w:r>
      <w:r w:rsidRPr="001E1299">
        <w:t xml:space="preserve">Erika E. </w:t>
      </w:r>
      <w:proofErr w:type="spellStart"/>
      <w:r w:rsidRPr="001E1299">
        <w:t>Schinler</w:t>
      </w:r>
      <w:proofErr w:type="spellEnd"/>
      <w:r>
        <w:t xml:space="preserve">, </w:t>
      </w:r>
      <w:r>
        <w:rPr>
          <w:i/>
        </w:rPr>
        <w:t xml:space="preserve">Trouble at the Sausage Factory: Has the Uniform Computer Information Transactions Act Been Unjustly </w:t>
      </w:r>
      <w:proofErr w:type="gramStart"/>
      <w:r>
        <w:rPr>
          <w:i/>
        </w:rPr>
        <w:t>Stigmatized?,</w:t>
      </w:r>
      <w:proofErr w:type="gramEnd"/>
      <w:r>
        <w:t xml:space="preserve"> 75 </w:t>
      </w:r>
      <w:proofErr w:type="spellStart"/>
      <w:r>
        <w:rPr>
          <w:smallCaps/>
        </w:rPr>
        <w:t>Tul</w:t>
      </w:r>
      <w:proofErr w:type="spellEnd"/>
      <w:r>
        <w:rPr>
          <w:smallCaps/>
        </w:rPr>
        <w:t>. L. Rev.</w:t>
      </w:r>
      <w:r>
        <w:t xml:space="preserve"> 507, 507-08 (2000) (arguing that telephone-like effects have impaired the development of certain uniform laws); Peggy </w:t>
      </w:r>
      <w:proofErr w:type="spellStart"/>
      <w:r>
        <w:t>Livett</w:t>
      </w:r>
      <w:proofErr w:type="spellEnd"/>
      <w:r>
        <w:t xml:space="preserve">, </w:t>
      </w:r>
      <w:r w:rsidRPr="00DC1C23">
        <w:rPr>
          <w:i/>
        </w:rPr>
        <w:t>Social Remittances: Migration Driven Local-Level Forms of Cultural Diffusion</w:t>
      </w:r>
      <w:r>
        <w:t xml:space="preserve">, 32 </w:t>
      </w:r>
      <w:r>
        <w:rPr>
          <w:smallCaps/>
        </w:rPr>
        <w:t>Int’l Migration Rev.</w:t>
      </w:r>
      <w:r>
        <w:t xml:space="preserve"> 926, 938-39 (1998) (exploring how social remittances by migrants to home villages can be distorted by open and informal systems of communication). </w:t>
      </w:r>
    </w:p>
  </w:footnote>
  <w:footnote w:id="4">
    <w:p w14:paraId="79460014" w14:textId="0A27434E" w:rsidR="00BF48DB" w:rsidRPr="00D601E3" w:rsidRDefault="00BF48DB" w:rsidP="00D601E3">
      <w:pPr>
        <w:rPr>
          <w:sz w:val="20"/>
          <w:szCs w:val="20"/>
        </w:rPr>
      </w:pPr>
      <w:r w:rsidRPr="00D601E3">
        <w:rPr>
          <w:rStyle w:val="FootnoteReference"/>
          <w:sz w:val="20"/>
          <w:szCs w:val="20"/>
        </w:rPr>
        <w:footnoteRef/>
      </w:r>
      <w:r w:rsidRPr="00D601E3">
        <w:rPr>
          <w:sz w:val="20"/>
          <w:szCs w:val="20"/>
        </w:rPr>
        <w:t xml:space="preserve"> Jean-Daniel </w:t>
      </w:r>
      <w:proofErr w:type="spellStart"/>
      <w:r w:rsidRPr="00D601E3">
        <w:rPr>
          <w:sz w:val="20"/>
          <w:szCs w:val="20"/>
        </w:rPr>
        <w:t>Collomb</w:t>
      </w:r>
      <w:proofErr w:type="spellEnd"/>
      <w:r w:rsidRPr="00D601E3">
        <w:rPr>
          <w:sz w:val="20"/>
          <w:szCs w:val="20"/>
        </w:rPr>
        <w:t xml:space="preserve">, </w:t>
      </w:r>
      <w:r w:rsidRPr="00D601E3">
        <w:rPr>
          <w:i/>
          <w:sz w:val="20"/>
          <w:szCs w:val="20"/>
        </w:rPr>
        <w:t>The Ideology of Climate Change Denial in the United States</w:t>
      </w:r>
      <w:r w:rsidRPr="00D601E3">
        <w:rPr>
          <w:sz w:val="20"/>
          <w:szCs w:val="20"/>
        </w:rPr>
        <w:t xml:space="preserve">, 9 </w:t>
      </w:r>
      <w:r w:rsidRPr="00D601E3">
        <w:rPr>
          <w:smallCaps/>
          <w:sz w:val="20"/>
          <w:szCs w:val="20"/>
        </w:rPr>
        <w:t>Eur. J. Am. Stud.</w:t>
      </w:r>
      <w:r w:rsidRPr="00D601E3">
        <w:rPr>
          <w:sz w:val="20"/>
          <w:szCs w:val="20"/>
        </w:rPr>
        <w:t xml:space="preserve"> 1, 1 (2014) (“American climate change deniers have been remarkably successful in confusing public opinion and delaying decisive action.”). </w:t>
      </w:r>
      <w:r w:rsidRPr="00D601E3">
        <w:rPr>
          <w:i/>
          <w:sz w:val="20"/>
          <w:szCs w:val="20"/>
        </w:rPr>
        <w:t>See also</w:t>
      </w:r>
      <w:r w:rsidRPr="00D601E3">
        <w:rPr>
          <w:sz w:val="20"/>
          <w:szCs w:val="20"/>
        </w:rPr>
        <w:t xml:space="preserve"> Karl S. </w:t>
      </w:r>
      <w:proofErr w:type="spellStart"/>
      <w:r w:rsidRPr="00D601E3">
        <w:rPr>
          <w:sz w:val="20"/>
          <w:szCs w:val="20"/>
        </w:rPr>
        <w:t>Coplan</w:t>
      </w:r>
      <w:proofErr w:type="spellEnd"/>
      <w:r w:rsidRPr="00D601E3">
        <w:rPr>
          <w:sz w:val="20"/>
          <w:szCs w:val="20"/>
        </w:rPr>
        <w:t xml:space="preserve">, </w:t>
      </w:r>
      <w:r w:rsidRPr="00D601E3">
        <w:rPr>
          <w:i/>
          <w:sz w:val="20"/>
          <w:szCs w:val="20"/>
        </w:rPr>
        <w:t>Climate Change, Political Truth, and the Marketplace of Ideas,</w:t>
      </w:r>
      <w:r w:rsidRPr="00D601E3">
        <w:rPr>
          <w:sz w:val="20"/>
          <w:szCs w:val="20"/>
        </w:rPr>
        <w:t xml:space="preserve"> 2012 </w:t>
      </w:r>
      <w:r w:rsidRPr="00D601E3">
        <w:rPr>
          <w:smallCaps/>
          <w:sz w:val="20"/>
          <w:szCs w:val="20"/>
        </w:rPr>
        <w:t xml:space="preserve">Utah L. Rev. 545, </w:t>
      </w:r>
      <w:r w:rsidRPr="00D601E3">
        <w:rPr>
          <w:sz w:val="20"/>
          <w:szCs w:val="20"/>
        </w:rPr>
        <w:t>552-53 (“The scientific consensus that anthropogenic climate change threatens cataclysmic disruption of human settlement and agriculture, requiring immediate and drastic action, faces severe challenges in achieving acceptance as a political truth in the United States' marketplace of ideas.”).</w:t>
      </w:r>
    </w:p>
  </w:footnote>
  <w:footnote w:id="5">
    <w:p w14:paraId="134D28DC" w14:textId="77777777" w:rsidR="00BF48DB" w:rsidRPr="00A637FF" w:rsidRDefault="00BF48DB" w:rsidP="00A03A87">
      <w:pPr>
        <w:pStyle w:val="FootnoteText"/>
      </w:pPr>
      <w:r w:rsidRPr="00D601E3">
        <w:rPr>
          <w:rStyle w:val="FootnoteReference"/>
        </w:rPr>
        <w:footnoteRef/>
      </w:r>
      <w:r w:rsidRPr="00D601E3">
        <w:t xml:space="preserve"> Andrea </w:t>
      </w:r>
      <w:proofErr w:type="spellStart"/>
      <w:r w:rsidRPr="00D601E3">
        <w:t>Saltelli</w:t>
      </w:r>
      <w:proofErr w:type="spellEnd"/>
      <w:r w:rsidRPr="00D601E3">
        <w:t xml:space="preserve"> &amp; Mario </w:t>
      </w:r>
      <w:proofErr w:type="spellStart"/>
      <w:r w:rsidRPr="00D601E3">
        <w:t>Giampietro</w:t>
      </w:r>
      <w:proofErr w:type="spellEnd"/>
      <w:r w:rsidRPr="00D601E3">
        <w:t xml:space="preserve">, </w:t>
      </w:r>
      <w:r w:rsidRPr="00D601E3">
        <w:rPr>
          <w:i/>
        </w:rPr>
        <w:t xml:space="preserve">What is Wrong with Evidence Based Policy, and How Can it Be </w:t>
      </w:r>
      <w:proofErr w:type="gramStart"/>
      <w:r w:rsidRPr="00D601E3">
        <w:rPr>
          <w:i/>
        </w:rPr>
        <w:t>Improved?</w:t>
      </w:r>
      <w:r w:rsidRPr="00D601E3">
        <w:t>,</w:t>
      </w:r>
      <w:proofErr w:type="gramEnd"/>
      <w:r w:rsidRPr="00D601E3">
        <w:t xml:space="preserve"> 91 </w:t>
      </w:r>
      <w:r w:rsidRPr="00D601E3">
        <w:rPr>
          <w:smallCaps/>
        </w:rPr>
        <w:t>Futures</w:t>
      </w:r>
      <w:r w:rsidRPr="00D601E3">
        <w:t xml:space="preserve"> 62, 63 (2017).</w:t>
      </w:r>
    </w:p>
  </w:footnote>
  <w:footnote w:id="6">
    <w:p w14:paraId="12253ABE" w14:textId="72437075" w:rsidR="00BF48DB" w:rsidRPr="00B51881" w:rsidRDefault="00BF48DB" w:rsidP="00A03A87">
      <w:pPr>
        <w:pStyle w:val="FootnoteText"/>
      </w:pPr>
      <w:r>
        <w:rPr>
          <w:rStyle w:val="FootnoteReference"/>
        </w:rPr>
        <w:footnoteRef/>
      </w:r>
      <w:r>
        <w:t xml:space="preserve"> Stephen </w:t>
      </w:r>
      <w:proofErr w:type="spellStart"/>
      <w:r>
        <w:t>Soumerai</w:t>
      </w:r>
      <w:proofErr w:type="spellEnd"/>
      <w:r>
        <w:t xml:space="preserve"> &amp; Ross Koppel, </w:t>
      </w:r>
      <w:r>
        <w:rPr>
          <w:i/>
        </w:rPr>
        <w:t>How Bad Science Can Lead to Bad Science Journalist – And Bad Policy,</w:t>
      </w:r>
      <w:r>
        <w:t xml:space="preserve"> </w:t>
      </w:r>
      <w:r>
        <w:rPr>
          <w:smallCaps/>
        </w:rPr>
        <w:t xml:space="preserve">Wash. Post </w:t>
      </w:r>
      <w:r>
        <w:t xml:space="preserve">(June 7, 2017), </w:t>
      </w:r>
      <w:r w:rsidRPr="00B51881">
        <w:t>https://www.washingtonpost.com/posteverything/wp/2017/06/07/how-bad-science-can-lead-to-bad-science-journalism-and-bad-policy/</w:t>
      </w:r>
      <w:r>
        <w:t>.</w:t>
      </w:r>
    </w:p>
  </w:footnote>
  <w:footnote w:id="7">
    <w:p w14:paraId="41A57D8F" w14:textId="477A3E81" w:rsidR="00BF48DB" w:rsidRDefault="00BF48DB">
      <w:pPr>
        <w:pStyle w:val="FootnoteText"/>
      </w:pPr>
      <w:r>
        <w:rPr>
          <w:rStyle w:val="FootnoteReference"/>
        </w:rPr>
        <w:footnoteRef/>
      </w:r>
      <w:r>
        <w:t xml:space="preserve"> David S. Caudill, </w:t>
      </w:r>
      <w:r>
        <w:rPr>
          <w:i/>
        </w:rPr>
        <w:t>Ibsen’s an Enemy of the People and the Public Understanding of Science in Law</w:t>
      </w:r>
      <w:r>
        <w:t xml:space="preserve">, </w:t>
      </w:r>
      <w:r w:rsidRPr="002B21FB">
        <w:t>16</w:t>
      </w:r>
      <w:r w:rsidRPr="004D2CBC">
        <w:rPr>
          <w:i/>
        </w:rPr>
        <w:t xml:space="preserve"> </w:t>
      </w:r>
      <w:r w:rsidRPr="002B21FB">
        <w:rPr>
          <w:smallCaps/>
        </w:rPr>
        <w:t xml:space="preserve">Geo. Int'l </w:t>
      </w:r>
      <w:proofErr w:type="spellStart"/>
      <w:r w:rsidRPr="002B21FB">
        <w:rPr>
          <w:smallCaps/>
        </w:rPr>
        <w:t>Envtl</w:t>
      </w:r>
      <w:proofErr w:type="spellEnd"/>
      <w:r w:rsidRPr="002B21FB">
        <w:rPr>
          <w:smallCaps/>
        </w:rPr>
        <w:t>. L. Rev.</w:t>
      </w:r>
      <w:r w:rsidRPr="004D2CBC">
        <w:rPr>
          <w:i/>
        </w:rPr>
        <w:t xml:space="preserve"> </w:t>
      </w:r>
      <w:r>
        <w:t xml:space="preserve">1, 3 (2003); </w:t>
      </w:r>
      <w:r w:rsidRPr="002027F8">
        <w:t>G. Nagesh Rao</w:t>
      </w:r>
      <w:r>
        <w:t xml:space="preserve">, </w:t>
      </w:r>
      <w:r>
        <w:rPr>
          <w:i/>
        </w:rPr>
        <w:t>Nanotechnology: A Look into the Future of Arising Legal Dilemmas</w:t>
      </w:r>
      <w:r>
        <w:t xml:space="preserve">, </w:t>
      </w:r>
      <w:r w:rsidRPr="002027F8">
        <w:t xml:space="preserve">17 </w:t>
      </w:r>
      <w:r w:rsidRPr="002027F8">
        <w:rPr>
          <w:smallCaps/>
        </w:rPr>
        <w:t>Alb. L.J. Sci. &amp; Tech</w:t>
      </w:r>
      <w:r w:rsidRPr="002027F8">
        <w:t>. 835</w:t>
      </w:r>
      <w:r>
        <w:t>, 861 (2007) (“</w:t>
      </w:r>
      <w:r w:rsidRPr="002027F8">
        <w:t>A problem science faces is misunderstanding by politicians and the general public, due to the lack of communication and inadequate education regarding the subject matter.</w:t>
      </w:r>
      <w:r>
        <w:t>”).</w:t>
      </w:r>
    </w:p>
  </w:footnote>
  <w:footnote w:id="8">
    <w:p w14:paraId="394B550E" w14:textId="722F0319" w:rsidR="00BF48DB" w:rsidRPr="00FF1E36" w:rsidRDefault="00BF48DB" w:rsidP="00A03A87">
      <w:pPr>
        <w:pStyle w:val="FootnoteText"/>
      </w:pPr>
      <w:r>
        <w:rPr>
          <w:rStyle w:val="FootnoteReference"/>
        </w:rPr>
        <w:footnoteRef/>
      </w:r>
      <w:r>
        <w:t xml:space="preserve"> For example, o</w:t>
      </w:r>
      <w:r w:rsidRPr="00FF1E36">
        <w:t>ver $28 billion worth of biology research generates results that are irreproducible</w:t>
      </w:r>
      <w:r>
        <w:t xml:space="preserve"> and thus of questionable use for further research. </w:t>
      </w:r>
      <w:proofErr w:type="spellStart"/>
      <w:r>
        <w:t>Monya</w:t>
      </w:r>
      <w:proofErr w:type="spellEnd"/>
      <w:r>
        <w:t xml:space="preserve"> Baker, </w:t>
      </w:r>
      <w:r>
        <w:rPr>
          <w:i/>
        </w:rPr>
        <w:t>Irreproducible Biology Research Costs Put at $28 Billion Per Year</w:t>
      </w:r>
      <w:r>
        <w:t xml:space="preserve">, </w:t>
      </w:r>
      <w:r>
        <w:rPr>
          <w:smallCaps/>
        </w:rPr>
        <w:t>Nature: News</w:t>
      </w:r>
      <w:r>
        <w:t xml:space="preserve"> (June 9, 2015), </w:t>
      </w:r>
      <w:r w:rsidRPr="00FF1E36">
        <w:t>https://www.nature.com/news/irreproducible-biology-research-costs-put-at-28-billion-per-year-1.17711</w:t>
      </w:r>
      <w:r>
        <w:t>.</w:t>
      </w:r>
    </w:p>
  </w:footnote>
  <w:footnote w:id="9">
    <w:p w14:paraId="1A7BC7F1" w14:textId="37BCC629" w:rsidR="00BF48DB" w:rsidRPr="00005E25" w:rsidRDefault="00BF48DB" w:rsidP="00A03A87">
      <w:pPr>
        <w:pStyle w:val="FootnoteText"/>
      </w:pPr>
      <w:r>
        <w:rPr>
          <w:rStyle w:val="FootnoteReference"/>
        </w:rPr>
        <w:footnoteRef/>
      </w:r>
      <w:r>
        <w:t xml:space="preserve"> </w:t>
      </w:r>
      <w:r>
        <w:rPr>
          <w:i/>
        </w:rPr>
        <w:t xml:space="preserve">See </w:t>
      </w:r>
      <w:r>
        <w:t xml:space="preserve">Hans Peter Peters, </w:t>
      </w:r>
      <w:r>
        <w:rPr>
          <w:i/>
        </w:rPr>
        <w:t>Gap Between Science and Media Revisited: Scientists as Public Communicators</w:t>
      </w:r>
      <w:r>
        <w:t xml:space="preserve">, 110 </w:t>
      </w:r>
      <w:r>
        <w:rPr>
          <w:smallCaps/>
        </w:rPr>
        <w:t>Proc. Nat. Acad. Sci. U.S.A.</w:t>
      </w:r>
      <w:r>
        <w:t xml:space="preserve"> 14102, 14102 (2013) (noting that relationship between science and the media has been characterized by barrier metaphors such as “oil and water,” “barrier,” and “gap”). </w:t>
      </w:r>
      <w:r>
        <w:rPr>
          <w:i/>
        </w:rPr>
        <w:t xml:space="preserve">See also </w:t>
      </w:r>
      <w:r>
        <w:t xml:space="preserve">D.H. Kaye, </w:t>
      </w:r>
      <w:r>
        <w:rPr>
          <w:i/>
        </w:rPr>
        <w:t>Behavioral Genetics Research and Criminal DNA Databases</w:t>
      </w:r>
      <w:r>
        <w:t xml:space="preserve">, </w:t>
      </w:r>
      <w:r w:rsidRPr="000B5B0C">
        <w:t xml:space="preserve">69 </w:t>
      </w:r>
      <w:r w:rsidRPr="000B5B0C">
        <w:rPr>
          <w:smallCaps/>
        </w:rPr>
        <w:t>Law &amp; Contemp. Probs.</w:t>
      </w:r>
      <w:r w:rsidRPr="000B5B0C">
        <w:t xml:space="preserve"> 259</w:t>
      </w:r>
      <w:r>
        <w:t>, 283 (2006) (“</w:t>
      </w:r>
      <w:r w:rsidRPr="000B5B0C">
        <w:t>Normally, the antidote to public misunderstanding of research is public discourse and a free flow of scientific information. On issues ranging from transcendental meditation to homeopathy to fluoridated water, scholars, publicists, and journalists promulgate pernicious or unvalidated theories, thinly or thickly garbed in the dress of science.</w:t>
      </w:r>
      <w:r>
        <w:t>”).</w:t>
      </w:r>
    </w:p>
  </w:footnote>
  <w:footnote w:id="10">
    <w:p w14:paraId="341C67C0" w14:textId="08FDF8E3" w:rsidR="00BF48DB" w:rsidRPr="00271B13" w:rsidRDefault="00BF48DB">
      <w:pPr>
        <w:pStyle w:val="FootnoteText"/>
      </w:pPr>
      <w:r>
        <w:rPr>
          <w:rStyle w:val="FootnoteReference"/>
        </w:rPr>
        <w:footnoteRef/>
      </w:r>
      <w:r>
        <w:t xml:space="preserve"> A.A. Rosenberg et al., </w:t>
      </w:r>
      <w:r>
        <w:rPr>
          <w:i/>
        </w:rPr>
        <w:t>Congress’s Attacks on Science-Based Rules</w:t>
      </w:r>
      <w:r>
        <w:t xml:space="preserve">, 348 </w:t>
      </w:r>
      <w:r>
        <w:rPr>
          <w:smallCaps/>
        </w:rPr>
        <w:t>Science</w:t>
      </w:r>
      <w:r>
        <w:t xml:space="preserve"> 964, 965-66 (2015) (discussing five major bills that would potentially limit the scientific advisory process).</w:t>
      </w:r>
    </w:p>
  </w:footnote>
  <w:footnote w:id="11">
    <w:p w14:paraId="2957A077" w14:textId="7ADA03E9" w:rsidR="00BF48DB" w:rsidRDefault="00BF48DB" w:rsidP="00A03A87">
      <w:pPr>
        <w:pStyle w:val="FootnoteText"/>
      </w:pPr>
      <w:r>
        <w:rPr>
          <w:rStyle w:val="FootnoteReference"/>
        </w:rPr>
        <w:footnoteRef/>
      </w:r>
      <w:r>
        <w:t xml:space="preserve"> </w:t>
      </w:r>
      <w:r>
        <w:rPr>
          <w:i/>
        </w:rPr>
        <w:t xml:space="preserve">E.g., </w:t>
      </w:r>
      <w:r>
        <w:t xml:space="preserve">Jakob D. Jensen et al., </w:t>
      </w:r>
      <w:r w:rsidRPr="0086678A">
        <w:rPr>
          <w:i/>
        </w:rPr>
        <w:t>Communicating Uncertain Science to the Public: How Amount and Source of Uncertainty Impact Fatalism, Backlash, and Overload</w:t>
      </w:r>
      <w:r>
        <w:t xml:space="preserve">, 37 </w:t>
      </w:r>
      <w:r>
        <w:rPr>
          <w:smallCaps/>
        </w:rPr>
        <w:t>Risk Anal.</w:t>
      </w:r>
      <w:r>
        <w:t xml:space="preserve"> 40, 47-48 (2017) (reporting results related to interaction effect of information overload to uncertainty and backlash effects). For a detailed discussion of information overload in the consumer contract context, see </w:t>
      </w:r>
      <w:r w:rsidRPr="00A275B4">
        <w:t>Shmuel I. Beche</w:t>
      </w:r>
      <w:r>
        <w:t xml:space="preserve">r, </w:t>
      </w:r>
      <w:r>
        <w:rPr>
          <w:i/>
        </w:rPr>
        <w:t>Behavioral Science and Consumer Standard Form Contracts</w:t>
      </w:r>
      <w:r>
        <w:t xml:space="preserve">, 68 </w:t>
      </w:r>
      <w:r>
        <w:rPr>
          <w:smallCaps/>
        </w:rPr>
        <w:t>La. L. Rev. 117,</w:t>
      </w:r>
      <w:r>
        <w:t xml:space="preserve"> 167-77 (2007). </w:t>
      </w:r>
      <w:r>
        <w:rPr>
          <w:i/>
        </w:rPr>
        <w:t xml:space="preserve">See generally </w:t>
      </w:r>
      <w:r>
        <w:t xml:space="preserve">Karen Bradshaw Schulz, </w:t>
      </w:r>
      <w:r>
        <w:rPr>
          <w:i/>
        </w:rPr>
        <w:t>Information Flooding</w:t>
      </w:r>
      <w:r>
        <w:t xml:space="preserve">, 48 </w:t>
      </w:r>
      <w:r>
        <w:rPr>
          <w:smallCaps/>
        </w:rPr>
        <w:t>Ind. L. Rev.</w:t>
      </w:r>
      <w:r>
        <w:t xml:space="preserve"> 755, 762-64 (2013).</w:t>
      </w:r>
    </w:p>
  </w:footnote>
  <w:footnote w:id="12">
    <w:p w14:paraId="21B3C123" w14:textId="6F832CF8" w:rsidR="00BF48DB" w:rsidRPr="00570D8F" w:rsidRDefault="00BF48DB" w:rsidP="00A03A87">
      <w:pPr>
        <w:pStyle w:val="FootnoteText"/>
      </w:pPr>
      <w:r>
        <w:rPr>
          <w:rStyle w:val="FootnoteReference"/>
        </w:rPr>
        <w:footnoteRef/>
      </w:r>
      <w:r>
        <w:t xml:space="preserve"> </w:t>
      </w:r>
      <w:r>
        <w:rPr>
          <w:i/>
        </w:rPr>
        <w:t>See, e.g.,</w:t>
      </w:r>
      <w:r>
        <w:t xml:space="preserve"> John R. Durant et al., </w:t>
      </w:r>
      <w:r>
        <w:rPr>
          <w:i/>
        </w:rPr>
        <w:t>The Public Understanding of Science</w:t>
      </w:r>
      <w:r>
        <w:t xml:space="preserve">, 340 </w:t>
      </w:r>
      <w:r>
        <w:rPr>
          <w:smallCaps/>
        </w:rPr>
        <w:t>Nature</w:t>
      </w:r>
      <w:r>
        <w:t xml:space="preserve"> 11, 12-14 (1989) (reporting various results from surveying public scientific knowledge).</w:t>
      </w:r>
    </w:p>
  </w:footnote>
  <w:footnote w:id="13">
    <w:p w14:paraId="08050F45" w14:textId="77777777" w:rsidR="00BF48DB" w:rsidRPr="00DE7504" w:rsidRDefault="00BF48DB" w:rsidP="00A03A87">
      <w:pPr>
        <w:pStyle w:val="FootnoteText"/>
      </w:pPr>
      <w:r>
        <w:rPr>
          <w:rStyle w:val="FootnoteReference"/>
        </w:rPr>
        <w:footnoteRef/>
      </w:r>
      <w:r>
        <w:t xml:space="preserve"> </w:t>
      </w:r>
      <w:r>
        <w:rPr>
          <w:i/>
        </w:rPr>
        <w:t>E.g.,</w:t>
      </w:r>
      <w:r>
        <w:t xml:space="preserve"> Steven A. Greenberg, </w:t>
      </w:r>
      <w:r>
        <w:rPr>
          <w:i/>
        </w:rPr>
        <w:t>How Citation Distortions Create Unfounded Authority: Analysis of a Citation Network</w:t>
      </w:r>
      <w:r>
        <w:t xml:space="preserve">, 339 </w:t>
      </w:r>
      <w:r>
        <w:rPr>
          <w:smallCaps/>
        </w:rPr>
        <w:t>Brit. Med. J. 210 (2009).</w:t>
      </w:r>
    </w:p>
  </w:footnote>
  <w:footnote w:id="14">
    <w:p w14:paraId="45277C58" w14:textId="0C4F8341" w:rsidR="00BF48DB" w:rsidRPr="00B27142" w:rsidRDefault="00BF48DB" w:rsidP="00A03A87">
      <w:pPr>
        <w:pStyle w:val="FootnoteText"/>
        <w:rPr>
          <w:smallCaps/>
        </w:rPr>
      </w:pPr>
      <w:r>
        <w:rPr>
          <w:rStyle w:val="FootnoteReference"/>
        </w:rPr>
        <w:footnoteRef/>
      </w:r>
      <w:r>
        <w:t xml:space="preserve"> Rachael PS John et al., </w:t>
      </w:r>
      <w:r w:rsidRPr="00DE130E">
        <w:rPr>
          <w:i/>
        </w:rPr>
        <w:t>Myths about</w:t>
      </w:r>
      <w:r>
        <w:rPr>
          <w:i/>
        </w:rPr>
        <w:t xml:space="preserve"> Autism: An Exploratory Study Using Focus Groups</w:t>
      </w:r>
      <w:r>
        <w:t xml:space="preserve">, 22 </w:t>
      </w:r>
      <w:r>
        <w:rPr>
          <w:smallCaps/>
        </w:rPr>
        <w:t xml:space="preserve">Autism 845 (2017), </w:t>
      </w:r>
      <w:r w:rsidRPr="00D62431">
        <w:t>http://journals.sagepub.com/doi/abs/10.1177/1362361317714990</w:t>
      </w:r>
      <w:r>
        <w:rPr>
          <w:smallCaps/>
        </w:rPr>
        <w:t xml:space="preserve"> (“</w:t>
      </w:r>
      <w:r>
        <w:t>Our findings demonstrate that people with varying experience and knowledge of autism not only hold inaccurate beliefs about autism but also are willing to reflect and adapt their views.”).</w:t>
      </w:r>
    </w:p>
  </w:footnote>
  <w:footnote w:id="15">
    <w:p w14:paraId="16DA113D" w14:textId="77777777" w:rsidR="00BF48DB" w:rsidRDefault="00BF48DB" w:rsidP="00A03A87">
      <w:pPr>
        <w:pStyle w:val="FootnoteText"/>
      </w:pPr>
      <w:r>
        <w:rPr>
          <w:rStyle w:val="FootnoteReference"/>
        </w:rPr>
        <w:footnoteRef/>
      </w:r>
      <w:r>
        <w:t xml:space="preserve"> Kami M. Vinton, The Butterfly Effect of Deceptive Science: How Media Influence May Have Spread the Illusory Link between Vaccines and Autism 46 (2016) (unpublished Ph.D. dissertation, University of Texas Arlington).</w:t>
      </w:r>
    </w:p>
  </w:footnote>
  <w:footnote w:id="16">
    <w:p w14:paraId="46D41FC3" w14:textId="77777777" w:rsidR="00BF48DB" w:rsidRPr="00D93D1B" w:rsidRDefault="00BF48DB" w:rsidP="00A03A87">
      <w:pPr>
        <w:pStyle w:val="FootnoteText"/>
      </w:pPr>
      <w:r>
        <w:rPr>
          <w:rStyle w:val="FootnoteReference"/>
        </w:rPr>
        <w:footnoteRef/>
      </w:r>
      <w:r>
        <w:t xml:space="preserve"> </w:t>
      </w:r>
      <w:r>
        <w:rPr>
          <w:i/>
        </w:rPr>
        <w:t>See, e.g.,</w:t>
      </w:r>
      <w:r>
        <w:t xml:space="preserve"> Harold P. Green, </w:t>
      </w:r>
      <w:r>
        <w:rPr>
          <w:i/>
        </w:rPr>
        <w:t xml:space="preserve">The Law-Science Interface in Public Policy </w:t>
      </w:r>
      <w:proofErr w:type="spellStart"/>
      <w:r>
        <w:rPr>
          <w:i/>
        </w:rPr>
        <w:t>Decisionmaking</w:t>
      </w:r>
      <w:proofErr w:type="spellEnd"/>
      <w:r>
        <w:t xml:space="preserve">, 51 </w:t>
      </w:r>
      <w:r>
        <w:rPr>
          <w:smallCaps/>
        </w:rPr>
        <w:t>Ohio St. L.J.</w:t>
      </w:r>
      <w:r>
        <w:t xml:space="preserve"> 375, 378 (1990) (citing Steven Goldberg, </w:t>
      </w:r>
      <w:r w:rsidRPr="00950490">
        <w:rPr>
          <w:i/>
        </w:rPr>
        <w:t>The Reluctant Embrace: Law and Science in America</w:t>
      </w:r>
      <w:r>
        <w:t xml:space="preserve">, 75 </w:t>
      </w:r>
      <w:r w:rsidRPr="00950490">
        <w:rPr>
          <w:smallCaps/>
        </w:rPr>
        <w:t>Geo. L.J.</w:t>
      </w:r>
      <w:r>
        <w:t xml:space="preserve"> 1341, 1368 (1987)). </w:t>
      </w:r>
      <w:r>
        <w:rPr>
          <w:i/>
        </w:rPr>
        <w:t>See also</w:t>
      </w:r>
      <w:r>
        <w:t xml:space="preserve"> Robin Feldman, </w:t>
      </w:r>
      <w:r>
        <w:rPr>
          <w:i/>
        </w:rPr>
        <w:t>Law’s Misguided Love Affair with Science</w:t>
      </w:r>
      <w:r>
        <w:t xml:space="preserve">, 10 </w:t>
      </w:r>
      <w:r>
        <w:rPr>
          <w:smallCaps/>
        </w:rPr>
        <w:t>Minn. J.L. Sci. &amp; Tech.</w:t>
      </w:r>
      <w:r>
        <w:t xml:space="preserve"> 95, 96 (2009) (remarking that when courts defer to supposedly neutral scientific facts, “[t]he strategy continually fails, however, leaving as much chaos, confusion, and disagreement as before.”).</w:t>
      </w:r>
    </w:p>
  </w:footnote>
  <w:footnote w:id="17">
    <w:p w14:paraId="52D34412" w14:textId="77777777" w:rsidR="00BF48DB" w:rsidRPr="008A68CC" w:rsidRDefault="00BF48DB" w:rsidP="00A03A87">
      <w:pPr>
        <w:pStyle w:val="FootnoteText"/>
      </w:pPr>
      <w:r>
        <w:rPr>
          <w:rStyle w:val="FootnoteReference"/>
        </w:rPr>
        <w:footnoteRef/>
      </w:r>
      <w:r>
        <w:t xml:space="preserve"> </w:t>
      </w:r>
      <w:r>
        <w:rPr>
          <w:i/>
        </w:rPr>
        <w:t>See e.g.,</w:t>
      </w:r>
      <w:r>
        <w:t xml:space="preserve"> Jakub </w:t>
      </w:r>
      <w:proofErr w:type="spellStart"/>
      <w:r w:rsidRPr="008A68CC">
        <w:t>Kwieciński</w:t>
      </w:r>
      <w:proofErr w:type="spellEnd"/>
      <w:r>
        <w:t xml:space="preserve">, </w:t>
      </w:r>
      <w:r>
        <w:rPr>
          <w:i/>
        </w:rPr>
        <w:t xml:space="preserve">Genetically Modified </w:t>
      </w:r>
      <w:proofErr w:type="gramStart"/>
      <w:r>
        <w:rPr>
          <w:i/>
        </w:rPr>
        <w:t>Abominations?</w:t>
      </w:r>
      <w:r>
        <w:t>,</w:t>
      </w:r>
      <w:proofErr w:type="gramEnd"/>
      <w:r>
        <w:t xml:space="preserve"> 10 </w:t>
      </w:r>
      <w:r>
        <w:rPr>
          <w:smallCaps/>
        </w:rPr>
        <w:t>EMBO Rep.</w:t>
      </w:r>
      <w:r>
        <w:t xml:space="preserve"> 1187, 1187 (2009); </w:t>
      </w:r>
      <w:r w:rsidRPr="008A68CC">
        <w:t xml:space="preserve">Dorothy </w:t>
      </w:r>
      <w:proofErr w:type="spellStart"/>
      <w:r w:rsidRPr="008A68CC">
        <w:t>Nelkin</w:t>
      </w:r>
      <w:proofErr w:type="spellEnd"/>
      <w:r>
        <w:t xml:space="preserve"> et al., </w:t>
      </w:r>
      <w:r>
        <w:rPr>
          <w:i/>
        </w:rPr>
        <w:t>The International Challenge of Genetically Modified Organism Regulation</w:t>
      </w:r>
      <w:r>
        <w:t xml:space="preserve">, </w:t>
      </w:r>
      <w:r w:rsidRPr="00357FBE">
        <w:t xml:space="preserve">8 </w:t>
      </w:r>
      <w:r w:rsidRPr="00357FBE">
        <w:rPr>
          <w:smallCaps/>
        </w:rPr>
        <w:t xml:space="preserve">N.Y.U. </w:t>
      </w:r>
      <w:proofErr w:type="spellStart"/>
      <w:r w:rsidRPr="00357FBE">
        <w:rPr>
          <w:smallCaps/>
        </w:rPr>
        <w:t>Envtl</w:t>
      </w:r>
      <w:proofErr w:type="spellEnd"/>
      <w:r w:rsidRPr="00357FBE">
        <w:rPr>
          <w:smallCaps/>
        </w:rPr>
        <w:t>. L.J.</w:t>
      </w:r>
      <w:r>
        <w:t xml:space="preserve"> </w:t>
      </w:r>
      <w:r w:rsidRPr="00357FBE">
        <w:t>523</w:t>
      </w:r>
      <w:r>
        <w:t>, 524 (2000) (discussing strong opposition to GMOs in Europe can encourage trade wars with other countries).</w:t>
      </w:r>
    </w:p>
  </w:footnote>
  <w:footnote w:id="18">
    <w:p w14:paraId="0DE74447" w14:textId="600AF0EE" w:rsidR="00BF48DB" w:rsidRPr="00B7490D" w:rsidRDefault="00BF48DB" w:rsidP="00A03A87">
      <w:pPr>
        <w:pStyle w:val="FootnoteText"/>
      </w:pPr>
      <w:r>
        <w:rPr>
          <w:rStyle w:val="FootnoteReference"/>
        </w:rPr>
        <w:footnoteRef/>
      </w:r>
      <w:r>
        <w:t xml:space="preserve"> </w:t>
      </w:r>
      <w:proofErr w:type="spellStart"/>
      <w:r w:rsidRPr="00B7490D">
        <w:rPr>
          <w:rFonts w:cstheme="minorHAnsi"/>
          <w:bCs/>
          <w:szCs w:val="18"/>
        </w:rPr>
        <w:t>Galyna</w:t>
      </w:r>
      <w:proofErr w:type="spellEnd"/>
      <w:r w:rsidRPr="00B7490D">
        <w:rPr>
          <w:rFonts w:cstheme="minorHAnsi"/>
          <w:bCs/>
          <w:szCs w:val="18"/>
        </w:rPr>
        <w:t xml:space="preserve"> </w:t>
      </w:r>
      <w:proofErr w:type="spellStart"/>
      <w:r w:rsidRPr="00B7490D">
        <w:rPr>
          <w:rFonts w:cstheme="minorHAnsi"/>
          <w:bCs/>
          <w:szCs w:val="18"/>
        </w:rPr>
        <w:t>Sidyelyeva</w:t>
      </w:r>
      <w:proofErr w:type="spellEnd"/>
      <w:r>
        <w:rPr>
          <w:rFonts w:cstheme="minorHAnsi"/>
          <w:bCs/>
          <w:szCs w:val="18"/>
        </w:rPr>
        <w:t xml:space="preserve">, </w:t>
      </w:r>
      <w:r>
        <w:rPr>
          <w:rFonts w:cstheme="minorHAnsi"/>
          <w:bCs/>
          <w:i/>
          <w:szCs w:val="18"/>
        </w:rPr>
        <w:t>The GMOs We Love to Hate</w:t>
      </w:r>
      <w:r>
        <w:rPr>
          <w:rFonts w:cstheme="minorHAnsi"/>
          <w:bCs/>
          <w:szCs w:val="18"/>
        </w:rPr>
        <w:t xml:space="preserve">, 25 </w:t>
      </w:r>
      <w:r w:rsidRPr="00B7490D">
        <w:rPr>
          <w:rFonts w:cstheme="minorHAnsi"/>
          <w:bCs/>
          <w:smallCaps/>
          <w:szCs w:val="18"/>
        </w:rPr>
        <w:t>Einstein J. Biol</w:t>
      </w:r>
      <w:r>
        <w:rPr>
          <w:rFonts w:cstheme="minorHAnsi"/>
          <w:bCs/>
          <w:smallCaps/>
          <w:szCs w:val="18"/>
        </w:rPr>
        <w:t xml:space="preserve">ogy &amp; </w:t>
      </w:r>
      <w:r w:rsidRPr="00B7490D">
        <w:rPr>
          <w:rFonts w:cstheme="minorHAnsi"/>
          <w:bCs/>
          <w:smallCaps/>
          <w:szCs w:val="18"/>
        </w:rPr>
        <w:t>Med.</w:t>
      </w:r>
      <w:r>
        <w:rPr>
          <w:rFonts w:cstheme="minorHAnsi"/>
          <w:bCs/>
          <w:smallCaps/>
          <w:szCs w:val="18"/>
        </w:rPr>
        <w:t xml:space="preserve"> 49, 49 (2009).</w:t>
      </w:r>
    </w:p>
  </w:footnote>
  <w:footnote w:id="19">
    <w:p w14:paraId="7C33142F" w14:textId="77777777" w:rsidR="00BF48DB" w:rsidRPr="006737B6" w:rsidRDefault="00BF48DB" w:rsidP="00A03A87">
      <w:pPr>
        <w:pStyle w:val="FootnoteText"/>
      </w:pPr>
      <w:r>
        <w:rPr>
          <w:rStyle w:val="FootnoteReference"/>
        </w:rPr>
        <w:footnoteRef/>
      </w:r>
      <w:r>
        <w:t xml:space="preserve"> </w:t>
      </w:r>
      <w:proofErr w:type="spellStart"/>
      <w:r>
        <w:t>Azhar</w:t>
      </w:r>
      <w:proofErr w:type="spellEnd"/>
      <w:r>
        <w:t xml:space="preserve"> Hussain et al., </w:t>
      </w:r>
      <w:r w:rsidRPr="00A96941">
        <w:rPr>
          <w:i/>
        </w:rPr>
        <w:t>The Anti-vaccination Movement: A Regression in Modern Medicine</w:t>
      </w:r>
      <w:r>
        <w:t xml:space="preserve">, 10 </w:t>
      </w:r>
      <w:proofErr w:type="spellStart"/>
      <w:r>
        <w:rPr>
          <w:smallCaps/>
        </w:rPr>
        <w:t>Cureus</w:t>
      </w:r>
      <w:proofErr w:type="spellEnd"/>
      <w:r>
        <w:t xml:space="preserve"> 1, 2-3 (2018).</w:t>
      </w:r>
    </w:p>
  </w:footnote>
  <w:footnote w:id="20">
    <w:p w14:paraId="4E9A3859" w14:textId="3ADA625C" w:rsidR="00BF48DB" w:rsidRPr="00A67B82" w:rsidRDefault="00BF48DB" w:rsidP="00A03A87">
      <w:pPr>
        <w:pStyle w:val="FootnoteText"/>
      </w:pPr>
      <w:r>
        <w:rPr>
          <w:rStyle w:val="FootnoteReference"/>
        </w:rPr>
        <w:footnoteRef/>
      </w:r>
      <w:r>
        <w:t xml:space="preserve"> This would be considered a form of citation analysis. A citation analysis is a generic term referring to any studies that attempt to assess the pattern and nature of footnoting practices in published works. Clark A. Elliott, </w:t>
      </w:r>
      <w:r>
        <w:rPr>
          <w:i/>
        </w:rPr>
        <w:t>Citation Patterns and Documentation for the History of Science: Some Methodological Considerations</w:t>
      </w:r>
      <w:r>
        <w:t xml:space="preserve">, 44 </w:t>
      </w:r>
      <w:r>
        <w:rPr>
          <w:smallCaps/>
        </w:rPr>
        <w:t>Am. Archivist</w:t>
      </w:r>
      <w:r>
        <w:t xml:space="preserve"> 131, 133 n.2 (1981). Citation analyses can track a single citation or citations in pairs, known as co-citation. A co-citation analysis examines how often two sources are linked together in citation. </w:t>
      </w:r>
      <w:r>
        <w:rPr>
          <w:i/>
        </w:rPr>
        <w:t xml:space="preserve">E.g., </w:t>
      </w:r>
      <w:proofErr w:type="spellStart"/>
      <w:r w:rsidRPr="007D0A45">
        <w:t>Saša</w:t>
      </w:r>
      <w:proofErr w:type="spellEnd"/>
      <w:r>
        <w:t xml:space="preserve"> </w:t>
      </w:r>
      <w:proofErr w:type="spellStart"/>
      <w:r w:rsidRPr="007D0A45">
        <w:t>Batistič</w:t>
      </w:r>
      <w:proofErr w:type="spellEnd"/>
      <w:r>
        <w:t xml:space="preserve"> et al., </w:t>
      </w:r>
      <w:r>
        <w:rPr>
          <w:i/>
        </w:rPr>
        <w:t>Just How Multi-Level is Leadership Research? A Document Co-Citation Analysis 1980-2013 on Leadership Constructs and Outcomes</w:t>
      </w:r>
      <w:r>
        <w:t xml:space="preserve">, 28 </w:t>
      </w:r>
      <w:r>
        <w:rPr>
          <w:smallCaps/>
        </w:rPr>
        <w:t>Leadership Q.</w:t>
      </w:r>
      <w:r>
        <w:t xml:space="preserve"> 86 (2017); Henry Small, </w:t>
      </w:r>
      <w:r>
        <w:rPr>
          <w:i/>
        </w:rPr>
        <w:t>Co-Citation in the Scientific Literature: A New Measure of the Relationship between Two Documents</w:t>
      </w:r>
      <w:r>
        <w:t xml:space="preserve">, 24 </w:t>
      </w:r>
      <w:r>
        <w:rPr>
          <w:smallCaps/>
        </w:rPr>
        <w:t xml:space="preserve">J. Am. Soc’y Info. Sci. </w:t>
      </w:r>
      <w:r>
        <w:t>265 (1973).</w:t>
      </w:r>
    </w:p>
  </w:footnote>
  <w:footnote w:id="21">
    <w:p w14:paraId="0D70901E" w14:textId="356BA70B" w:rsidR="00BF48DB" w:rsidRPr="0012556C" w:rsidRDefault="00BF48DB" w:rsidP="00A03A87">
      <w:pPr>
        <w:pStyle w:val="FootnoteText"/>
      </w:pPr>
      <w:r>
        <w:rPr>
          <w:rStyle w:val="FootnoteReference"/>
        </w:rPr>
        <w:footnoteRef/>
      </w:r>
      <w:r>
        <w:t xml:space="preserve"> </w:t>
      </w:r>
      <w:r>
        <w:rPr>
          <w:i/>
        </w:rPr>
        <w:t>See, e.g.,</w:t>
      </w:r>
      <w:r>
        <w:t xml:space="preserve"> Naoki Shibata et al., </w:t>
      </w:r>
      <w:r w:rsidRPr="00E931DD">
        <w:rPr>
          <w:i/>
        </w:rPr>
        <w:t>Detecting Emerging Research Fronts Based on Topological Measures in Citation Networks of Scientific Publications</w:t>
      </w:r>
      <w:r>
        <w:t xml:space="preserve">, 28 </w:t>
      </w:r>
      <w:proofErr w:type="spellStart"/>
      <w:r>
        <w:rPr>
          <w:smallCaps/>
        </w:rPr>
        <w:t>Technovation</w:t>
      </w:r>
      <w:proofErr w:type="spellEnd"/>
      <w:r>
        <w:rPr>
          <w:smallCaps/>
        </w:rPr>
        <w:t xml:space="preserve"> 758</w:t>
      </w:r>
      <w:r>
        <w:t xml:space="preserve"> (2008) (comparing two scientific research domains); Eric Gilbert et al., </w:t>
      </w:r>
      <w:r>
        <w:rPr>
          <w:i/>
        </w:rPr>
        <w:t>Blogs are Echo Chambers: Blogs are Echo Chambers</w:t>
      </w:r>
      <w:r>
        <w:t xml:space="preserve">, </w:t>
      </w:r>
      <w:r>
        <w:rPr>
          <w:smallCaps/>
        </w:rPr>
        <w:t>Proc. of the 42</w:t>
      </w:r>
      <w:r w:rsidRPr="00292628">
        <w:rPr>
          <w:smallCaps/>
          <w:vertAlign w:val="superscript"/>
        </w:rPr>
        <w:t>nd</w:t>
      </w:r>
      <w:r>
        <w:rPr>
          <w:smallCaps/>
        </w:rPr>
        <w:t xml:space="preserve"> Haw. Int’l Conf. on Sys. Sci.</w:t>
      </w:r>
      <w:r>
        <w:t xml:space="preserve"> (2009),</w:t>
      </w:r>
      <w:r>
        <w:rPr>
          <w:i/>
        </w:rPr>
        <w:t xml:space="preserve"> available at</w:t>
      </w:r>
      <w:r>
        <w:t xml:space="preserve"> </w:t>
      </w:r>
      <w:r w:rsidRPr="0012556C">
        <w:t>https://ieeexplore.ieee.org/stamp/stamp.jsp?tp=&amp;arnumber=4755503</w:t>
      </w:r>
      <w:r>
        <w:t>.</w:t>
      </w:r>
    </w:p>
  </w:footnote>
  <w:footnote w:id="22">
    <w:p w14:paraId="64AE86DD" w14:textId="210C8CF0" w:rsidR="00BF48DB" w:rsidRPr="006E5904" w:rsidRDefault="00BF48DB" w:rsidP="00A03A87">
      <w:pPr>
        <w:pStyle w:val="FootnoteText"/>
      </w:pPr>
      <w:r>
        <w:rPr>
          <w:rStyle w:val="FootnoteReference"/>
        </w:rPr>
        <w:footnoteRef/>
      </w:r>
      <w:r>
        <w:t xml:space="preserve"> </w:t>
      </w:r>
      <w:r>
        <w:rPr>
          <w:i/>
        </w:rPr>
        <w:t>See</w:t>
      </w:r>
      <w:r>
        <w:t xml:space="preserve"> </w:t>
      </w:r>
      <w:proofErr w:type="spellStart"/>
      <w:r>
        <w:t>Evgeny</w:t>
      </w:r>
      <w:proofErr w:type="spellEnd"/>
      <w:r>
        <w:t xml:space="preserve"> Morozov, </w:t>
      </w:r>
      <w:r w:rsidRPr="005F195C">
        <w:rPr>
          <w:i/>
        </w:rPr>
        <w:t>Iran: Down</w:t>
      </w:r>
      <w:r>
        <w:rPr>
          <w:i/>
        </w:rPr>
        <w:t>side to the “Twitter Revolution”</w:t>
      </w:r>
      <w:r>
        <w:t xml:space="preserve">, 56 </w:t>
      </w:r>
      <w:r>
        <w:rPr>
          <w:smallCaps/>
        </w:rPr>
        <w:t xml:space="preserve">Dissent 10, </w:t>
      </w:r>
      <w:r>
        <w:t>11 (2009) (exploring how the new media ecosystem is similar to a game of telephone).</w:t>
      </w:r>
    </w:p>
  </w:footnote>
  <w:footnote w:id="23">
    <w:p w14:paraId="53EF7497" w14:textId="4C70652B" w:rsidR="00BF48DB" w:rsidRDefault="00BF48DB">
      <w:pPr>
        <w:pStyle w:val="FootnoteText"/>
      </w:pPr>
      <w:r>
        <w:rPr>
          <w:rStyle w:val="FootnoteReference"/>
        </w:rPr>
        <w:footnoteRef/>
      </w:r>
      <w:r>
        <w:t xml:space="preserve"> A caveat is necessary before the Article begins. It is beyond the scope of this Article to conclusively evaluate the GMO-autism connection or the underlying science. Scientific research is a disciplinary world away from the prescriptions and argumentations of legal scholarship.</w:t>
      </w:r>
    </w:p>
  </w:footnote>
  <w:footnote w:id="24">
    <w:p w14:paraId="20F9DAED" w14:textId="772E54D8" w:rsidR="00BF48DB" w:rsidRPr="00F5501D" w:rsidRDefault="00BF48DB" w:rsidP="007C1291">
      <w:pPr>
        <w:pStyle w:val="FootnoteText"/>
      </w:pPr>
      <w:r>
        <w:rPr>
          <w:rStyle w:val="FootnoteReference"/>
        </w:rPr>
        <w:footnoteRef/>
      </w:r>
      <w:r>
        <w:t xml:space="preserve"> Small, </w:t>
      </w:r>
      <w:r>
        <w:rPr>
          <w:i/>
        </w:rPr>
        <w:t>supra</w:t>
      </w:r>
      <w:r>
        <w:t xml:space="preserve"> note </w:t>
      </w:r>
      <w:r>
        <w:fldChar w:fldCharType="begin"/>
      </w:r>
      <w:r>
        <w:instrText xml:space="preserve"> NOTEREF _Ref535240982 \h </w:instrText>
      </w:r>
      <w:r>
        <w:fldChar w:fldCharType="separate"/>
      </w:r>
      <w:r>
        <w:t>19</w:t>
      </w:r>
      <w:r>
        <w:fldChar w:fldCharType="end"/>
      </w:r>
      <w:r>
        <w:t>, at 265.</w:t>
      </w:r>
    </w:p>
  </w:footnote>
  <w:footnote w:id="25">
    <w:p w14:paraId="2C5078DC" w14:textId="77777777" w:rsidR="00BF48DB" w:rsidRPr="009B15AF" w:rsidRDefault="00BF48DB" w:rsidP="007C1291">
      <w:pPr>
        <w:pStyle w:val="FootnoteText"/>
      </w:pPr>
      <w:r>
        <w:rPr>
          <w:rStyle w:val="FootnoteReference"/>
        </w:rPr>
        <w:footnoteRef/>
      </w:r>
      <w:r>
        <w:t xml:space="preserve"> </w:t>
      </w:r>
      <w:r>
        <w:rPr>
          <w:i/>
        </w:rPr>
        <w:t>See, e.g.,</w:t>
      </w:r>
      <w:r>
        <w:t xml:space="preserve"> Derek R. Smith, </w:t>
      </w:r>
      <w:r>
        <w:rPr>
          <w:i/>
        </w:rPr>
        <w:t xml:space="preserve">Impact Factors, </w:t>
      </w:r>
      <w:proofErr w:type="spellStart"/>
      <w:r>
        <w:rPr>
          <w:i/>
        </w:rPr>
        <w:t>Scientometrics</w:t>
      </w:r>
      <w:proofErr w:type="spellEnd"/>
      <w:r>
        <w:rPr>
          <w:i/>
        </w:rPr>
        <w:t xml:space="preserve"> and the History of Citation-Based Research</w:t>
      </w:r>
      <w:r>
        <w:t xml:space="preserve">, 92 </w:t>
      </w:r>
      <w:proofErr w:type="spellStart"/>
      <w:r>
        <w:rPr>
          <w:smallCaps/>
        </w:rPr>
        <w:t>Scientometrics</w:t>
      </w:r>
      <w:proofErr w:type="spellEnd"/>
      <w:r>
        <w:t xml:space="preserve"> 419, 420 (2012).</w:t>
      </w:r>
    </w:p>
  </w:footnote>
  <w:footnote w:id="26">
    <w:p w14:paraId="263963B2" w14:textId="77777777" w:rsidR="00BF48DB" w:rsidRPr="001D7CA4" w:rsidRDefault="00BF48DB" w:rsidP="007C1291">
      <w:pPr>
        <w:pStyle w:val="FootnoteText"/>
      </w:pPr>
      <w:r>
        <w:rPr>
          <w:rStyle w:val="FootnoteReference"/>
        </w:rPr>
        <w:footnoteRef/>
      </w:r>
      <w:r>
        <w:t xml:space="preserve"> Eugene Garfield, </w:t>
      </w:r>
      <w:r>
        <w:rPr>
          <w:i/>
        </w:rPr>
        <w:t>Citation Indexes for Science: A New Dimension in Documentation through Association of Ideas</w:t>
      </w:r>
      <w:r>
        <w:t xml:space="preserve">, 122 </w:t>
      </w:r>
      <w:r>
        <w:rPr>
          <w:smallCaps/>
        </w:rPr>
        <w:t>Science</w:t>
      </w:r>
      <w:r>
        <w:t xml:space="preserve"> 108 (1955).</w:t>
      </w:r>
    </w:p>
  </w:footnote>
  <w:footnote w:id="27">
    <w:p w14:paraId="02B259FE" w14:textId="5E89FEE4" w:rsidR="00BF48DB" w:rsidRPr="003B1E26" w:rsidRDefault="00BF48DB" w:rsidP="007C1291">
      <w:pPr>
        <w:pStyle w:val="FootnoteText"/>
      </w:pPr>
      <w:r>
        <w:rPr>
          <w:rStyle w:val="FootnoteReference"/>
        </w:rPr>
        <w:footnoteRef/>
      </w:r>
      <w:r>
        <w:t xml:space="preserve"> </w:t>
      </w:r>
      <w:r>
        <w:rPr>
          <w:i/>
        </w:rPr>
        <w:t>Id.</w:t>
      </w:r>
      <w:r>
        <w:t xml:space="preserve"> at 108. </w:t>
      </w:r>
      <w:r>
        <w:rPr>
          <w:i/>
        </w:rPr>
        <w:t>See also</w:t>
      </w:r>
      <w:r>
        <w:t xml:space="preserve"> Stephen E. Young, </w:t>
      </w:r>
      <w:r>
        <w:rPr>
          <w:i/>
        </w:rPr>
        <w:t>“</w:t>
      </w:r>
      <w:proofErr w:type="spellStart"/>
      <w:r>
        <w:rPr>
          <w:i/>
        </w:rPr>
        <w:t>Shepardizing</w:t>
      </w:r>
      <w:proofErr w:type="spellEnd"/>
      <w:r>
        <w:rPr>
          <w:rFonts w:cstheme="minorHAnsi"/>
          <w:i/>
        </w:rPr>
        <w:t>®</w:t>
      </w:r>
      <w:r>
        <w:rPr>
          <w:i/>
        </w:rPr>
        <w:t>” English Law</w:t>
      </w:r>
      <w:r>
        <w:t xml:space="preserve">, 90 </w:t>
      </w:r>
      <w:r>
        <w:rPr>
          <w:smallCaps/>
        </w:rPr>
        <w:t xml:space="preserve">Law. </w:t>
      </w:r>
      <w:proofErr w:type="spellStart"/>
      <w:r>
        <w:rPr>
          <w:smallCaps/>
        </w:rPr>
        <w:t>Libr</w:t>
      </w:r>
      <w:proofErr w:type="spellEnd"/>
      <w:r>
        <w:rPr>
          <w:smallCaps/>
        </w:rPr>
        <w:t>. J.</w:t>
      </w:r>
      <w:r>
        <w:t xml:space="preserve"> 209, 209 (1998) (“</w:t>
      </w:r>
      <w:r w:rsidRPr="003B1E26">
        <w:t>In the United States, legal researchers and librarians are weaned on the citator services offered by Shepard's Citations. Begun in 1873, Shepard's has grown over the past cen</w:t>
      </w:r>
      <w:r>
        <w:t xml:space="preserve">tury into a legal institution. </w:t>
      </w:r>
      <w:r w:rsidRPr="003B1E26">
        <w:t>It is the tool used by virtually everyone to determine the history and treatment of a case, a legislative enactment, a court rule, or even a law review article.</w:t>
      </w:r>
      <w:r>
        <w:t>”).</w:t>
      </w:r>
    </w:p>
  </w:footnote>
  <w:footnote w:id="28">
    <w:p w14:paraId="0F330CD7" w14:textId="77777777" w:rsidR="00BF48DB" w:rsidRDefault="00BF48DB" w:rsidP="007C1291">
      <w:pPr>
        <w:pStyle w:val="FootnoteText"/>
      </w:pPr>
      <w:r>
        <w:rPr>
          <w:rStyle w:val="FootnoteReference"/>
        </w:rPr>
        <w:footnoteRef/>
      </w:r>
      <w:r>
        <w:t xml:space="preserve"> Simon A. Cole, </w:t>
      </w:r>
      <w:r>
        <w:rPr>
          <w:i/>
        </w:rPr>
        <w:t xml:space="preserve">Out of the Daubert Fire and Into the </w:t>
      </w:r>
      <w:proofErr w:type="spellStart"/>
      <w:r>
        <w:rPr>
          <w:i/>
        </w:rPr>
        <w:t>Fryeing</w:t>
      </w:r>
      <w:proofErr w:type="spellEnd"/>
      <w:r>
        <w:rPr>
          <w:i/>
        </w:rPr>
        <w:t xml:space="preserve"> Pan? Self-Validation, Meta-Expertise and the Admissibility of Latent Print Evidence in Frye </w:t>
      </w:r>
      <w:r w:rsidRPr="002A40F1">
        <w:rPr>
          <w:i/>
        </w:rPr>
        <w:t>Decisions</w:t>
      </w:r>
      <w:r>
        <w:t xml:space="preserve">, </w:t>
      </w:r>
      <w:r w:rsidRPr="002A40F1">
        <w:t xml:space="preserve">9 </w:t>
      </w:r>
      <w:r w:rsidRPr="002A40F1">
        <w:rPr>
          <w:smallCaps/>
        </w:rPr>
        <w:t>Minn. J.L. Sci. &amp; Tech.</w:t>
      </w:r>
      <w:r w:rsidRPr="002A40F1">
        <w:t xml:space="preserve"> 453</w:t>
      </w:r>
      <w:r>
        <w:t xml:space="preserve">, </w:t>
      </w:r>
      <w:r w:rsidRPr="002A40F1">
        <w:t>461</w:t>
      </w:r>
      <w:r>
        <w:t xml:space="preserve"> n.34 (2008) (explaining that </w:t>
      </w:r>
      <w:proofErr w:type="spellStart"/>
      <w:r>
        <w:t>scientometrics</w:t>
      </w:r>
      <w:proofErr w:type="spellEnd"/>
      <w:r>
        <w:t xml:space="preserve"> is a field that in part measures the influence of a scientific publication by the number of citations to that publication).</w:t>
      </w:r>
    </w:p>
  </w:footnote>
  <w:footnote w:id="29">
    <w:p w14:paraId="565A6E6C" w14:textId="77777777" w:rsidR="00BF48DB" w:rsidRPr="001B3C78" w:rsidRDefault="00BF48DB" w:rsidP="004242B5">
      <w:pPr>
        <w:pStyle w:val="FootnoteText"/>
      </w:pPr>
      <w:r>
        <w:rPr>
          <w:rStyle w:val="FootnoteReference"/>
        </w:rPr>
        <w:footnoteRef/>
      </w:r>
      <w:r>
        <w:t xml:space="preserve"> Joshua </w:t>
      </w:r>
      <w:proofErr w:type="spellStart"/>
      <w:r>
        <w:t>Aizenman</w:t>
      </w:r>
      <w:proofErr w:type="spellEnd"/>
      <w:r>
        <w:t xml:space="preserve"> &amp; Kenneth </w:t>
      </w:r>
      <w:proofErr w:type="spellStart"/>
      <w:r>
        <w:t>Kletzer</w:t>
      </w:r>
      <w:proofErr w:type="spellEnd"/>
      <w:r>
        <w:t xml:space="preserve">, </w:t>
      </w:r>
      <w:r>
        <w:rPr>
          <w:i/>
        </w:rPr>
        <w:t>The Life Cycle of Scholars and Papers in Economics – The ‘Citation Death Tax’,</w:t>
      </w:r>
      <w:r>
        <w:t xml:space="preserve"> 43 </w:t>
      </w:r>
      <w:r>
        <w:rPr>
          <w:smallCaps/>
        </w:rPr>
        <w:t>App. Econ.</w:t>
      </w:r>
      <w:r>
        <w:t xml:space="preserve"> 4135, 4136 (2011),</w:t>
      </w:r>
    </w:p>
  </w:footnote>
  <w:footnote w:id="30">
    <w:p w14:paraId="664B04EA" w14:textId="77777777" w:rsidR="00BF48DB" w:rsidRDefault="00BF48DB" w:rsidP="004242B5">
      <w:pPr>
        <w:pStyle w:val="FootnoteText"/>
      </w:pPr>
      <w:r>
        <w:rPr>
          <w:rStyle w:val="FootnoteReference"/>
        </w:rPr>
        <w:footnoteRef/>
      </w:r>
      <w:r>
        <w:t xml:space="preserve"> Ken Hyland, </w:t>
      </w:r>
      <w:r>
        <w:rPr>
          <w:i/>
        </w:rPr>
        <w:t>Academic Attribution: Citation and the Construction of Disciplinary Knowledge,</w:t>
      </w:r>
      <w:r>
        <w:t xml:space="preserve"> 20 </w:t>
      </w:r>
      <w:r>
        <w:rPr>
          <w:smallCaps/>
        </w:rPr>
        <w:t xml:space="preserve">App. Linguistics 341, </w:t>
      </w:r>
      <w:r>
        <w:t>341-42 (1999).</w:t>
      </w:r>
    </w:p>
  </w:footnote>
  <w:footnote w:id="31">
    <w:p w14:paraId="6708837C" w14:textId="77777777" w:rsidR="00BF48DB" w:rsidRPr="0047102B" w:rsidRDefault="00BF48DB" w:rsidP="004242B5">
      <w:pPr>
        <w:pStyle w:val="FootnoteText"/>
      </w:pPr>
      <w:r>
        <w:rPr>
          <w:rStyle w:val="FootnoteReference"/>
        </w:rPr>
        <w:footnoteRef/>
      </w:r>
      <w:r>
        <w:t xml:space="preserve"> </w:t>
      </w:r>
      <w:r>
        <w:rPr>
          <w:i/>
        </w:rPr>
        <w:t>Id.</w:t>
      </w:r>
    </w:p>
  </w:footnote>
  <w:footnote w:id="32">
    <w:p w14:paraId="4CA91D43" w14:textId="77777777" w:rsidR="00BF48DB" w:rsidRPr="0047102B" w:rsidRDefault="00BF48DB" w:rsidP="004242B5">
      <w:pPr>
        <w:pStyle w:val="FootnoteText"/>
      </w:pPr>
      <w:r>
        <w:rPr>
          <w:rStyle w:val="FootnoteReference"/>
        </w:rPr>
        <w:footnoteRef/>
      </w:r>
      <w:r>
        <w:t xml:space="preserve"> </w:t>
      </w:r>
      <w:r>
        <w:rPr>
          <w:i/>
        </w:rPr>
        <w:t>Id.</w:t>
      </w:r>
    </w:p>
  </w:footnote>
  <w:footnote w:id="33">
    <w:p w14:paraId="23C1DCF5" w14:textId="44319E4E" w:rsidR="00BF48DB" w:rsidRPr="00181578" w:rsidRDefault="00BF48DB" w:rsidP="005F53CF">
      <w:pPr>
        <w:pStyle w:val="FootnoteText"/>
      </w:pPr>
      <w:r>
        <w:rPr>
          <w:rStyle w:val="FootnoteReference"/>
        </w:rPr>
        <w:footnoteRef/>
      </w:r>
      <w:r>
        <w:t xml:space="preserve"> </w:t>
      </w:r>
      <w:r w:rsidRPr="00C70D78">
        <w:t>Allen W. Wilhite</w:t>
      </w:r>
      <w:r>
        <w:t xml:space="preserve"> &amp; Eric A. Fong, </w:t>
      </w:r>
      <w:r>
        <w:rPr>
          <w:i/>
        </w:rPr>
        <w:t>Coercive Citation in Academic Publishing</w:t>
      </w:r>
      <w:r>
        <w:t xml:space="preserve">, 335 </w:t>
      </w:r>
      <w:r>
        <w:rPr>
          <w:smallCaps/>
        </w:rPr>
        <w:t xml:space="preserve">Science </w:t>
      </w:r>
      <w:r>
        <w:t xml:space="preserve">542, 543 (2012) (citing </w:t>
      </w:r>
      <w:r w:rsidRPr="00414DFE">
        <w:rPr>
          <w:smallCaps/>
        </w:rPr>
        <w:t>APA, Publication Manual of the APA</w:t>
      </w:r>
      <w:r>
        <w:t xml:space="preserve"> (2010)).</w:t>
      </w:r>
    </w:p>
  </w:footnote>
  <w:footnote w:id="34">
    <w:p w14:paraId="466E1118" w14:textId="2772EF68" w:rsidR="00BF48DB" w:rsidRPr="0016563D" w:rsidRDefault="00BF48DB" w:rsidP="008D108C">
      <w:pPr>
        <w:pStyle w:val="FootnoteText"/>
      </w:pPr>
      <w:r>
        <w:rPr>
          <w:rStyle w:val="FootnoteReference"/>
        </w:rPr>
        <w:footnoteRef/>
      </w:r>
      <w:r>
        <w:t xml:space="preserve"> Elliott, </w:t>
      </w:r>
      <w:r>
        <w:rPr>
          <w:i/>
        </w:rPr>
        <w:t>supra</w:t>
      </w:r>
      <w:r>
        <w:t xml:space="preserve"> note </w:t>
      </w:r>
      <w:r>
        <w:fldChar w:fldCharType="begin"/>
      </w:r>
      <w:r>
        <w:instrText xml:space="preserve"> NOTEREF _Ref535240982 \h </w:instrText>
      </w:r>
      <w:r>
        <w:fldChar w:fldCharType="separate"/>
      </w:r>
      <w:r>
        <w:t>19</w:t>
      </w:r>
      <w:r>
        <w:fldChar w:fldCharType="end"/>
      </w:r>
      <w:r>
        <w:t xml:space="preserve">, at 133. One exception is a meta-analysis, which is a thorough review of studies of a topic in order to discern trends or patterns amongst those studies. </w:t>
      </w:r>
      <w:r w:rsidRPr="004C17FE">
        <w:rPr>
          <w:i/>
        </w:rPr>
        <w:t>See</w:t>
      </w:r>
      <w:r>
        <w:t xml:space="preserve"> </w:t>
      </w:r>
      <w:r w:rsidRPr="004C17FE">
        <w:t>Jeremy</w:t>
      </w:r>
      <w:r>
        <w:t xml:space="preserve"> A. Blumenthal, </w:t>
      </w:r>
      <w:r>
        <w:rPr>
          <w:i/>
        </w:rPr>
        <w:t>Meta-Analysis: A Primer for Legal Scholars</w:t>
      </w:r>
      <w:r>
        <w:t xml:space="preserve">, </w:t>
      </w:r>
      <w:r w:rsidRPr="004C17FE">
        <w:t xml:space="preserve">80 </w:t>
      </w:r>
      <w:r w:rsidRPr="004C17FE">
        <w:rPr>
          <w:smallCaps/>
        </w:rPr>
        <w:t>Temp. L. Rev.</w:t>
      </w:r>
      <w:r w:rsidRPr="004C17FE">
        <w:t xml:space="preserve"> 201</w:t>
      </w:r>
      <w:r>
        <w:t>, 204-05 (2007) (“[A]</w:t>
      </w:r>
      <w:r w:rsidRPr="004C17FE">
        <w:t xml:space="preserve"> meta-analysis has at leas</w:t>
      </w:r>
      <w:r>
        <w:t xml:space="preserve">t three objectives: (1) to </w:t>
      </w:r>
      <w:r w:rsidRPr="004C17FE">
        <w:t>identify the presence or absence of an effect in an existing empirical literature; (2) to evaluate the strength of that effect, for instance by summarizing the average effect across a set or subset of studies; and (3) to identify moderator variables, elements of the various studies that might have reliably affected their outcomes.</w:t>
      </w:r>
      <w:r>
        <w:t>”).</w:t>
      </w:r>
    </w:p>
  </w:footnote>
  <w:footnote w:id="35">
    <w:p w14:paraId="0792ADCC" w14:textId="4EE35F1E" w:rsidR="00BF48DB" w:rsidRDefault="00BF48DB" w:rsidP="008D108C">
      <w:pPr>
        <w:pStyle w:val="FootnoteText"/>
      </w:pPr>
      <w:r>
        <w:rPr>
          <w:rStyle w:val="FootnoteReference"/>
        </w:rPr>
        <w:footnoteRef/>
      </w:r>
      <w:r>
        <w:t xml:space="preserve"> Elliott, </w:t>
      </w:r>
      <w:r>
        <w:rPr>
          <w:i/>
        </w:rPr>
        <w:t>supra</w:t>
      </w:r>
      <w:r>
        <w:t xml:space="preserve"> note </w:t>
      </w:r>
      <w:r>
        <w:fldChar w:fldCharType="begin"/>
      </w:r>
      <w:r>
        <w:instrText xml:space="preserve"> NOTEREF _Ref535240982 \h </w:instrText>
      </w:r>
      <w:r>
        <w:fldChar w:fldCharType="separate"/>
      </w:r>
      <w:r>
        <w:t>19</w:t>
      </w:r>
      <w:r>
        <w:fldChar w:fldCharType="end"/>
      </w:r>
      <w:r>
        <w:t>, at 133.</w:t>
      </w:r>
    </w:p>
  </w:footnote>
  <w:footnote w:id="36">
    <w:p w14:paraId="323297EB" w14:textId="0DD9AB4E" w:rsidR="00BF48DB" w:rsidRDefault="00BF48DB" w:rsidP="008D108C">
      <w:pPr>
        <w:pStyle w:val="FootnoteText"/>
      </w:pPr>
      <w:r>
        <w:rPr>
          <w:rStyle w:val="FootnoteReference"/>
        </w:rPr>
        <w:footnoteRef/>
      </w:r>
      <w:r>
        <w:t xml:space="preserve"> </w:t>
      </w:r>
      <w:r w:rsidRPr="005D1B56">
        <w:rPr>
          <w:i/>
        </w:rPr>
        <w:t>Id.</w:t>
      </w:r>
    </w:p>
  </w:footnote>
  <w:footnote w:id="37">
    <w:p w14:paraId="5CE9E725" w14:textId="77777777" w:rsidR="00BF48DB" w:rsidRPr="00D83D91" w:rsidRDefault="00BF48DB" w:rsidP="00194F0C">
      <w:pPr>
        <w:pStyle w:val="FootnoteText"/>
      </w:pPr>
      <w:r>
        <w:rPr>
          <w:rStyle w:val="FootnoteReference"/>
        </w:rPr>
        <w:footnoteRef/>
      </w:r>
      <w:r>
        <w:t xml:space="preserve"> </w:t>
      </w:r>
      <w:r w:rsidRPr="00D32FDC">
        <w:rPr>
          <w:smallCaps/>
        </w:rPr>
        <w:t>Siddhartha Mukherjee, The Gene: An Intimate History</w:t>
      </w:r>
      <w:r>
        <w:t xml:space="preserve"> 54 (2016). </w:t>
      </w:r>
      <w:r>
        <w:rPr>
          <w:i/>
        </w:rPr>
        <w:t>See also</w:t>
      </w:r>
      <w:r>
        <w:t xml:space="preserve"> </w:t>
      </w:r>
      <w:r>
        <w:rPr>
          <w:smallCaps/>
        </w:rPr>
        <w:t>Thomas F. Lee, The Human Genome Project: Cracking the Genetic Code of Life</w:t>
      </w:r>
      <w:r>
        <w:t xml:space="preserve"> 36-37 (1991).</w:t>
      </w:r>
    </w:p>
  </w:footnote>
  <w:footnote w:id="38">
    <w:p w14:paraId="14555C6C" w14:textId="3895A61C" w:rsidR="00BF48DB" w:rsidRPr="00D32FDC" w:rsidRDefault="00BF48DB" w:rsidP="00194F0C">
      <w:pPr>
        <w:pStyle w:val="FootnoteText"/>
      </w:pPr>
      <w:r>
        <w:rPr>
          <w:rStyle w:val="FootnoteReference"/>
        </w:rPr>
        <w:footnoteRef/>
      </w:r>
      <w:r>
        <w:t xml:space="preserve"> </w:t>
      </w:r>
      <w:r w:rsidRPr="00D32FDC">
        <w:rPr>
          <w:smallCaps/>
        </w:rPr>
        <w:t>Mukherjee</w:t>
      </w:r>
      <w:r>
        <w:t xml:space="preserve">, </w:t>
      </w:r>
      <w:r w:rsidRPr="00D83D91">
        <w:rPr>
          <w:i/>
        </w:rPr>
        <w:t>supra</w:t>
      </w:r>
      <w:r>
        <w:t xml:space="preserve"> note </w:t>
      </w:r>
      <w:r>
        <w:fldChar w:fldCharType="begin"/>
      </w:r>
      <w:r>
        <w:instrText xml:space="preserve"> NOTEREF _Ref535241361 \h </w:instrText>
      </w:r>
      <w:r>
        <w:fldChar w:fldCharType="separate"/>
      </w:r>
      <w:r>
        <w:t>36</w:t>
      </w:r>
      <w:r>
        <w:fldChar w:fldCharType="end"/>
      </w:r>
      <w:r>
        <w:t>, at 56-58.</w:t>
      </w:r>
    </w:p>
  </w:footnote>
  <w:footnote w:id="39">
    <w:p w14:paraId="29C756E1" w14:textId="77777777" w:rsidR="00BF48DB" w:rsidRPr="00684B8D" w:rsidRDefault="00BF48DB" w:rsidP="00194F0C">
      <w:pPr>
        <w:pStyle w:val="FootnoteText"/>
      </w:pPr>
      <w:r>
        <w:rPr>
          <w:rStyle w:val="FootnoteReference"/>
        </w:rPr>
        <w:footnoteRef/>
      </w:r>
      <w:r>
        <w:t xml:space="preserve"> </w:t>
      </w:r>
      <w:r>
        <w:rPr>
          <w:i/>
        </w:rPr>
        <w:t>Id.</w:t>
      </w:r>
      <w:r>
        <w:t xml:space="preserve"> at 60.</w:t>
      </w:r>
    </w:p>
  </w:footnote>
  <w:footnote w:id="40">
    <w:p w14:paraId="408371FE" w14:textId="5884FFBB" w:rsidR="00BF48DB" w:rsidRPr="005C796C" w:rsidRDefault="00BF48DB">
      <w:pPr>
        <w:pStyle w:val="FootnoteText"/>
      </w:pPr>
      <w:r>
        <w:rPr>
          <w:rStyle w:val="FootnoteReference"/>
        </w:rPr>
        <w:footnoteRef/>
      </w:r>
      <w:r>
        <w:t xml:space="preserve"> </w:t>
      </w:r>
      <w:r>
        <w:rPr>
          <w:i/>
        </w:rPr>
        <w:t xml:space="preserve">See </w:t>
      </w:r>
      <w:r>
        <w:t xml:space="preserve">Russell </w:t>
      </w:r>
      <w:proofErr w:type="spellStart"/>
      <w:r>
        <w:t>Korobkin</w:t>
      </w:r>
      <w:proofErr w:type="spellEnd"/>
      <w:r>
        <w:t xml:space="preserve">, </w:t>
      </w:r>
      <w:r>
        <w:rPr>
          <w:i/>
        </w:rPr>
        <w:t>Ranking Journals: Some Thoughts on Theory and Methodology</w:t>
      </w:r>
      <w:r>
        <w:t xml:space="preserve">, 26 </w:t>
      </w:r>
      <w:r>
        <w:rPr>
          <w:smallCaps/>
        </w:rPr>
        <w:t>Fla. St. U. L. Rev.</w:t>
      </w:r>
      <w:r>
        <w:t xml:space="preserve"> 851, 865-866 (1999) (listing reasons to cite an article other than the “</w:t>
      </w:r>
      <w:r w:rsidRPr="005C796C">
        <w:t>article was particularly insightful or original</w:t>
      </w:r>
      <w:r>
        <w:t>”).</w:t>
      </w:r>
    </w:p>
  </w:footnote>
  <w:footnote w:id="41">
    <w:p w14:paraId="308BFC36" w14:textId="77777777" w:rsidR="00BF48DB" w:rsidRDefault="00BF48DB" w:rsidP="007C1291">
      <w:pPr>
        <w:pStyle w:val="FootnoteText"/>
      </w:pPr>
      <w:r>
        <w:rPr>
          <w:rStyle w:val="FootnoteReference"/>
        </w:rPr>
        <w:footnoteRef/>
      </w:r>
      <w:r>
        <w:t xml:space="preserve"> Rob Law et al., </w:t>
      </w:r>
      <w:r>
        <w:rPr>
          <w:i/>
        </w:rPr>
        <w:t>An Analysis of Academic Leadership in Hospitality and Tourism Journals,</w:t>
      </w:r>
      <w:r>
        <w:t xml:space="preserve"> 34 </w:t>
      </w:r>
      <w:r>
        <w:rPr>
          <w:smallCaps/>
        </w:rPr>
        <w:t>J. Hospitality &amp; Tourism Res.</w:t>
      </w:r>
      <w:r>
        <w:t xml:space="preserve"> 455, 458 (2010).</w:t>
      </w:r>
    </w:p>
  </w:footnote>
  <w:footnote w:id="42">
    <w:p w14:paraId="05577EF5" w14:textId="601240D5" w:rsidR="00BF48DB" w:rsidRDefault="00BF48DB" w:rsidP="007C1291">
      <w:pPr>
        <w:pStyle w:val="FootnoteText"/>
      </w:pPr>
      <w:r>
        <w:rPr>
          <w:rStyle w:val="FootnoteReference"/>
        </w:rPr>
        <w:footnoteRef/>
      </w:r>
      <w:r>
        <w:t xml:space="preserve"> Omid </w:t>
      </w:r>
      <w:proofErr w:type="spellStart"/>
      <w:r>
        <w:t>Mahian</w:t>
      </w:r>
      <w:proofErr w:type="spellEnd"/>
      <w:r>
        <w:t xml:space="preserve"> &amp; </w:t>
      </w:r>
      <w:r w:rsidRPr="00045BCF">
        <w:t xml:space="preserve">Somchai </w:t>
      </w:r>
      <w:proofErr w:type="spellStart"/>
      <w:r w:rsidRPr="00045BCF">
        <w:t>Wongwises</w:t>
      </w:r>
      <w:proofErr w:type="spellEnd"/>
      <w:r>
        <w:t xml:space="preserve">, </w:t>
      </w:r>
      <w:r w:rsidRPr="00ED37EB">
        <w:rPr>
          <w:i/>
        </w:rPr>
        <w:t>Is it Ethical for Journals to Request Self-</w:t>
      </w:r>
      <w:proofErr w:type="gramStart"/>
      <w:r>
        <w:rPr>
          <w:i/>
        </w:rPr>
        <w:t>C</w:t>
      </w:r>
      <w:r w:rsidRPr="00ED37EB">
        <w:rPr>
          <w:i/>
        </w:rPr>
        <w:t>itation?</w:t>
      </w:r>
      <w:r>
        <w:t>,</w:t>
      </w:r>
      <w:proofErr w:type="gramEnd"/>
      <w:r>
        <w:t xml:space="preserve"> 21 </w:t>
      </w:r>
      <w:r>
        <w:rPr>
          <w:smallCaps/>
        </w:rPr>
        <w:t xml:space="preserve">Sci. &amp; Eng. Ethics </w:t>
      </w:r>
      <w:r>
        <w:t>531, 532 (2015).</w:t>
      </w:r>
    </w:p>
  </w:footnote>
  <w:footnote w:id="43">
    <w:p w14:paraId="08AE4098" w14:textId="4B8374F7" w:rsidR="00BF48DB" w:rsidRPr="00414DFE" w:rsidRDefault="00BF48DB" w:rsidP="007C1291">
      <w:pPr>
        <w:pStyle w:val="FootnoteText"/>
      </w:pPr>
      <w:r>
        <w:rPr>
          <w:rStyle w:val="FootnoteReference"/>
        </w:rPr>
        <w:footnoteRef/>
      </w:r>
      <w:r>
        <w:t xml:space="preserve"> Sarah Huggett, </w:t>
      </w:r>
      <w:r>
        <w:rPr>
          <w:i/>
        </w:rPr>
        <w:t>Impact Factor Ethics for Editors</w:t>
      </w:r>
      <w:r>
        <w:t xml:space="preserve">, </w:t>
      </w:r>
      <w:r>
        <w:rPr>
          <w:smallCaps/>
        </w:rPr>
        <w:t>Elsevier</w:t>
      </w:r>
      <w:r>
        <w:t xml:space="preserve"> (June 4, 2012), </w:t>
      </w:r>
      <w:r w:rsidRPr="00597AD3">
        <w:t>https://www.elsevier.com/editors-update/story/journal-metrics/impact-factor-ethics-for-editors</w:t>
      </w:r>
      <w:r>
        <w:t xml:space="preserve">. </w:t>
      </w:r>
      <w:r>
        <w:rPr>
          <w:i/>
        </w:rPr>
        <w:t>See also</w:t>
      </w:r>
      <w:r>
        <w:t xml:space="preserve"> Wilhite &amp; Fong, </w:t>
      </w:r>
      <w:r>
        <w:rPr>
          <w:i/>
        </w:rPr>
        <w:t>supra</w:t>
      </w:r>
      <w:r>
        <w:t xml:space="preserve"> note </w:t>
      </w:r>
      <w:r>
        <w:fldChar w:fldCharType="begin"/>
      </w:r>
      <w:r>
        <w:instrText xml:space="preserve"> NOTEREF _Ref535241218 \h </w:instrText>
      </w:r>
      <w:r>
        <w:fldChar w:fldCharType="separate"/>
      </w:r>
      <w:r>
        <w:t>32</w:t>
      </w:r>
      <w:r>
        <w:fldChar w:fldCharType="end"/>
      </w:r>
      <w:r>
        <w:t>, at 542 (reporting survey results and finding that “</w:t>
      </w:r>
      <w:r w:rsidRPr="00BF2F85">
        <w:t>coercion is uncomfortably common and appears to be practiced opportunistically</w:t>
      </w:r>
      <w:r>
        <w:t xml:space="preserve">.”); Brett D. Thombs &amp; Ilya </w:t>
      </w:r>
      <w:proofErr w:type="spellStart"/>
      <w:r>
        <w:t>Razykov</w:t>
      </w:r>
      <w:proofErr w:type="spellEnd"/>
      <w:r>
        <w:t xml:space="preserve">, </w:t>
      </w:r>
      <w:r>
        <w:rPr>
          <w:i/>
        </w:rPr>
        <w:t>A Solution to Inappropriate Self-Citation via Peer Review</w:t>
      </w:r>
      <w:r>
        <w:t xml:space="preserve">, </w:t>
      </w:r>
      <w:r>
        <w:rPr>
          <w:smallCaps/>
        </w:rPr>
        <w:t>184 CMAJ 1864, 1864 (2012).</w:t>
      </w:r>
    </w:p>
  </w:footnote>
  <w:footnote w:id="44">
    <w:p w14:paraId="704B5AF0" w14:textId="13130EA5" w:rsidR="00BF48DB" w:rsidRPr="00ED37EB" w:rsidRDefault="00BF48DB" w:rsidP="007C1291">
      <w:pPr>
        <w:pStyle w:val="FootnoteText"/>
      </w:pPr>
      <w:r>
        <w:rPr>
          <w:rStyle w:val="FootnoteReference"/>
        </w:rPr>
        <w:footnoteRef/>
      </w:r>
      <w:r>
        <w:t xml:space="preserve"> Wilhite &amp; Fong, </w:t>
      </w:r>
      <w:r>
        <w:rPr>
          <w:i/>
        </w:rPr>
        <w:t>supra</w:t>
      </w:r>
      <w:r>
        <w:t xml:space="preserve"> note </w:t>
      </w:r>
      <w:r>
        <w:fldChar w:fldCharType="begin"/>
      </w:r>
      <w:r>
        <w:instrText xml:space="preserve"> NOTEREF _Ref535241218 \h </w:instrText>
      </w:r>
      <w:r>
        <w:fldChar w:fldCharType="separate"/>
      </w:r>
      <w:r>
        <w:t>32</w:t>
      </w:r>
      <w:r>
        <w:fldChar w:fldCharType="end"/>
      </w:r>
      <w:r>
        <w:t xml:space="preserve">, at 542 (“We find that coercion is uncomfortably common and appears to be practiced opportunistically.”). There may even be targeting of junior professors and sole-authors. </w:t>
      </w:r>
      <w:r>
        <w:rPr>
          <w:i/>
        </w:rPr>
        <w:t>Id.</w:t>
      </w:r>
      <w:r>
        <w:t xml:space="preserve"> at 543 (finding that “[e]</w:t>
      </w:r>
      <w:proofErr w:type="spellStart"/>
      <w:r>
        <w:t>ditors</w:t>
      </w:r>
      <w:proofErr w:type="spellEnd"/>
      <w:r>
        <w:t xml:space="preserve"> are more likely to coerce assistant and associate professors than professors and to target manuscripts with fewer authors.”). </w:t>
      </w:r>
      <w:r>
        <w:rPr>
          <w:i/>
        </w:rPr>
        <w:t>See also</w:t>
      </w:r>
      <w:r>
        <w:t xml:space="preserve"> </w:t>
      </w:r>
      <w:proofErr w:type="spellStart"/>
      <w:r>
        <w:t>Mahian</w:t>
      </w:r>
      <w:proofErr w:type="spellEnd"/>
      <w:r>
        <w:t xml:space="preserve"> &amp; </w:t>
      </w:r>
      <w:proofErr w:type="spellStart"/>
      <w:r w:rsidRPr="00045BCF">
        <w:t>Wongwises</w:t>
      </w:r>
      <w:proofErr w:type="spellEnd"/>
      <w:r>
        <w:t xml:space="preserve">, </w:t>
      </w:r>
      <w:r>
        <w:rPr>
          <w:i/>
        </w:rPr>
        <w:t xml:space="preserve">supra </w:t>
      </w:r>
      <w:r>
        <w:t xml:space="preserve">note </w:t>
      </w:r>
      <w:r>
        <w:fldChar w:fldCharType="begin"/>
      </w:r>
      <w:r>
        <w:instrText xml:space="preserve"> NOTEREF _Ref535241392 \h </w:instrText>
      </w:r>
      <w:r>
        <w:fldChar w:fldCharType="separate"/>
      </w:r>
      <w:r>
        <w:t>41</w:t>
      </w:r>
      <w:r>
        <w:fldChar w:fldCharType="end"/>
      </w:r>
      <w:r>
        <w:t>.</w:t>
      </w:r>
    </w:p>
  </w:footnote>
  <w:footnote w:id="45">
    <w:p w14:paraId="45DE54B0" w14:textId="2428AD89" w:rsidR="00BF48DB" w:rsidRPr="00E313C6" w:rsidRDefault="00BF48DB" w:rsidP="007C1291">
      <w:pPr>
        <w:pStyle w:val="FootnoteText"/>
      </w:pPr>
      <w:r>
        <w:rPr>
          <w:rStyle w:val="FootnoteReference"/>
        </w:rPr>
        <w:footnoteRef/>
      </w:r>
      <w:r>
        <w:t xml:space="preserve"> </w:t>
      </w:r>
      <w:r>
        <w:rPr>
          <w:i/>
        </w:rPr>
        <w:t>See, e.g.,</w:t>
      </w:r>
      <w:r>
        <w:t xml:space="preserve"> Mitchell A. Lowenthal &amp; Norman Menachem Feder, </w:t>
      </w:r>
      <w:r>
        <w:rPr>
          <w:i/>
        </w:rPr>
        <w:t>The Impropriety of Class Action Tolling for Mass Tort Statutes of Limitations</w:t>
      </w:r>
      <w:r>
        <w:t xml:space="preserve">, 64 </w:t>
      </w:r>
      <w:r>
        <w:rPr>
          <w:smallCaps/>
        </w:rPr>
        <w:t>Geo. Wash. L. Rev.</w:t>
      </w:r>
      <w:r>
        <w:t xml:space="preserve"> 532, 551-52 (1996) (criticizing the Court’s “uncritical citation” of a prior case); </w:t>
      </w:r>
      <w:proofErr w:type="spellStart"/>
      <w:r>
        <w:t>Maimon</w:t>
      </w:r>
      <w:proofErr w:type="spellEnd"/>
      <w:r>
        <w:t xml:space="preserve"> </w:t>
      </w:r>
      <w:proofErr w:type="spellStart"/>
      <w:r>
        <w:t>Schwarzchild</w:t>
      </w:r>
      <w:proofErr w:type="spellEnd"/>
      <w:r>
        <w:t xml:space="preserve">, </w:t>
      </w:r>
      <w:r>
        <w:rPr>
          <w:i/>
        </w:rPr>
        <w:t>Keeping it Private</w:t>
      </w:r>
      <w:r>
        <w:t xml:space="preserve"> 44 </w:t>
      </w:r>
      <w:r>
        <w:rPr>
          <w:smallCaps/>
        </w:rPr>
        <w:t xml:space="preserve">San Diego L. Rev. </w:t>
      </w:r>
      <w:r>
        <w:t xml:space="preserve">677, 683 n.17 (2007) (criticizing Leslie Bender, </w:t>
      </w:r>
      <w:r>
        <w:rPr>
          <w:i/>
        </w:rPr>
        <w:t>An Overview of Feminist Torts Scholarship</w:t>
      </w:r>
      <w:r>
        <w:t xml:space="preserve">, 78 </w:t>
      </w:r>
      <w:r>
        <w:rPr>
          <w:smallCaps/>
        </w:rPr>
        <w:t>Cornell L. Rev.</w:t>
      </w:r>
      <w:r>
        <w:t xml:space="preserve"> 575 (1993) for “</w:t>
      </w:r>
      <w:r w:rsidRPr="00E313C6">
        <w:t>offering enthusiastic and uncritical citations to many articles and books urging change in tort law along feminist lines</w:t>
      </w:r>
      <w:r>
        <w:t xml:space="preserve">.”); Raoul Berger, </w:t>
      </w:r>
      <w:r>
        <w:rPr>
          <w:i/>
        </w:rPr>
        <w:t xml:space="preserve">Administrative Arbitrariness-A Rejoinder to Professor Davis’ “Final Word,” </w:t>
      </w:r>
      <w:r>
        <w:t xml:space="preserve">114 </w:t>
      </w:r>
      <w:r>
        <w:rPr>
          <w:smallCaps/>
        </w:rPr>
        <w:t>U. Pa. L. Rev. 816</w:t>
      </w:r>
      <w:r>
        <w:t>, 819 (1966) (accusing author in a rejoinder article of “uncritical citation” to a treatise and arguing it is no substitute for addressing “cardinal questions that call for an answer”).</w:t>
      </w:r>
    </w:p>
  </w:footnote>
  <w:footnote w:id="46">
    <w:p w14:paraId="7D63CAD0" w14:textId="77777777" w:rsidR="00BF48DB" w:rsidRPr="00201B60" w:rsidRDefault="00BF48DB" w:rsidP="007C1291">
      <w:pPr>
        <w:pStyle w:val="FootnoteText"/>
      </w:pPr>
      <w:r>
        <w:rPr>
          <w:rStyle w:val="FootnoteReference"/>
        </w:rPr>
        <w:footnoteRef/>
      </w:r>
      <w:r>
        <w:t xml:space="preserve"> </w:t>
      </w:r>
      <w:r>
        <w:rPr>
          <w:i/>
        </w:rPr>
        <w:t>See, e.g.,</w:t>
      </w:r>
      <w:r>
        <w:t xml:space="preserve"> Ann Bowen Poulin, </w:t>
      </w:r>
      <w:r>
        <w:rPr>
          <w:i/>
        </w:rPr>
        <w:t>Double Jeopardy and Multiple Punishment: Cutting the Gordian Knot</w:t>
      </w:r>
      <w:r>
        <w:t xml:space="preserve">, 77 </w:t>
      </w:r>
      <w:r>
        <w:rPr>
          <w:smallCaps/>
        </w:rPr>
        <w:t xml:space="preserve">U. Colo. L. Rev. </w:t>
      </w:r>
      <w:r>
        <w:t xml:space="preserve">595, 634-41 (2006) (criticizing carless citation of cases as contributing to the misunderstanding of double jeopardy and multiple punishment); Melissa Hartigan, </w:t>
      </w:r>
      <w:r>
        <w:rPr>
          <w:i/>
        </w:rPr>
        <w:t xml:space="preserve">Creatures of the Common Law: The Petty Offense Doctrine and 18 U.S.C. </w:t>
      </w:r>
      <w:r>
        <w:rPr>
          <w:rFonts w:cstheme="minorHAnsi"/>
          <w:i/>
        </w:rPr>
        <w:t>§ 19</w:t>
      </w:r>
      <w:r>
        <w:rPr>
          <w:rFonts w:cstheme="minorHAnsi"/>
        </w:rPr>
        <w:t>,</w:t>
      </w:r>
      <w:r>
        <w:rPr>
          <w:rFonts w:cstheme="minorHAnsi"/>
          <w:i/>
        </w:rPr>
        <w:t xml:space="preserve"> </w:t>
      </w:r>
      <w:r>
        <w:rPr>
          <w:rFonts w:cstheme="minorHAnsi"/>
        </w:rPr>
        <w:t xml:space="preserve">59 </w:t>
      </w:r>
      <w:r>
        <w:rPr>
          <w:rFonts w:cstheme="minorHAnsi"/>
          <w:smallCaps/>
        </w:rPr>
        <w:t xml:space="preserve">Mont. L. Rev. </w:t>
      </w:r>
      <w:r>
        <w:rPr>
          <w:rFonts w:cstheme="minorHAnsi"/>
        </w:rPr>
        <w:t xml:space="preserve">343, </w:t>
      </w:r>
      <w:r>
        <w:t xml:space="preserve">360 (1998) (explaining how carless citations by the Court over a ten year period contributed to misinterpretation of a statute by subsequent courts). </w:t>
      </w:r>
      <w:r>
        <w:rPr>
          <w:i/>
        </w:rPr>
        <w:t xml:space="preserve">See generally </w:t>
      </w:r>
      <w:r>
        <w:t xml:space="preserve">Ira P. Robbins, </w:t>
      </w:r>
      <w:r>
        <w:rPr>
          <w:i/>
        </w:rPr>
        <w:t>Semiotics, Analogical Legal Reasoning, and the Cf. Citation: Getting Our Signals Uncrossed</w:t>
      </w:r>
      <w:r>
        <w:t xml:space="preserve">, 48 </w:t>
      </w:r>
      <w:proofErr w:type="gramStart"/>
      <w:r>
        <w:rPr>
          <w:smallCaps/>
        </w:rPr>
        <w:t>Duke</w:t>
      </w:r>
      <w:proofErr w:type="gramEnd"/>
      <w:r>
        <w:rPr>
          <w:smallCaps/>
        </w:rPr>
        <w:t xml:space="preserve"> L.J. 1043, </w:t>
      </w:r>
      <w:r>
        <w:t>1049 (1999) (concluding that “[w]</w:t>
      </w:r>
      <w:r w:rsidRPr="00201B60">
        <w:t>e must therefore take utmost care to be true to the intended development of the law. Put differently, careless citation practice can lead to haphazard consequences that should be controlled to the extent desired and to the extent possible.</w:t>
      </w:r>
      <w:r>
        <w:t>”).</w:t>
      </w:r>
    </w:p>
  </w:footnote>
  <w:footnote w:id="47">
    <w:p w14:paraId="78687676" w14:textId="03A54C3F" w:rsidR="00BF48DB" w:rsidRPr="00993040" w:rsidRDefault="00BF48DB" w:rsidP="007C1291">
      <w:pPr>
        <w:pStyle w:val="FootnoteText"/>
      </w:pPr>
      <w:r>
        <w:rPr>
          <w:rStyle w:val="FootnoteReference"/>
        </w:rPr>
        <w:footnoteRef/>
      </w:r>
      <w:r>
        <w:t xml:space="preserve"> Garfield, </w:t>
      </w:r>
      <w:r>
        <w:rPr>
          <w:i/>
        </w:rPr>
        <w:t>supra</w:t>
      </w:r>
      <w:r>
        <w:t xml:space="preserve"> note </w:t>
      </w:r>
      <w:r>
        <w:fldChar w:fldCharType="begin"/>
      </w:r>
      <w:r>
        <w:instrText xml:space="preserve"> NOTEREF _Ref535241082 \h </w:instrText>
      </w:r>
      <w:r>
        <w:fldChar w:fldCharType="separate"/>
      </w:r>
      <w:r>
        <w:t>25</w:t>
      </w:r>
      <w:r>
        <w:fldChar w:fldCharType="end"/>
      </w:r>
      <w:r>
        <w:t xml:space="preserve">, at 108; Peggy Thomasson &amp; Julian C. Stanley, </w:t>
      </w:r>
      <w:r>
        <w:rPr>
          <w:i/>
        </w:rPr>
        <w:t>Uncritical Citation of Criticized Data,</w:t>
      </w:r>
      <w:r>
        <w:t xml:space="preserve"> 121 </w:t>
      </w:r>
      <w:r>
        <w:rPr>
          <w:smallCaps/>
        </w:rPr>
        <w:t>Science</w:t>
      </w:r>
      <w:r>
        <w:t xml:space="preserve"> 610, 610-11 (1955).</w:t>
      </w:r>
    </w:p>
  </w:footnote>
  <w:footnote w:id="48">
    <w:p w14:paraId="5A957218" w14:textId="52FE3D01" w:rsidR="00BF48DB" w:rsidRPr="00993040" w:rsidRDefault="00BF48DB" w:rsidP="007C1291">
      <w:pPr>
        <w:pStyle w:val="FootnoteText"/>
      </w:pPr>
      <w:r>
        <w:rPr>
          <w:rStyle w:val="FootnoteReference"/>
        </w:rPr>
        <w:footnoteRef/>
      </w:r>
      <w:r>
        <w:t xml:space="preserve"> Garfield, </w:t>
      </w:r>
      <w:r>
        <w:rPr>
          <w:i/>
        </w:rPr>
        <w:t>supra</w:t>
      </w:r>
      <w:r>
        <w:t xml:space="preserve"> note </w:t>
      </w:r>
      <w:r>
        <w:fldChar w:fldCharType="begin"/>
      </w:r>
      <w:r>
        <w:instrText xml:space="preserve"> NOTEREF _Ref535241082 \h </w:instrText>
      </w:r>
      <w:r>
        <w:fldChar w:fldCharType="separate"/>
      </w:r>
      <w:r>
        <w:t>25</w:t>
      </w:r>
      <w:r>
        <w:fldChar w:fldCharType="end"/>
      </w:r>
      <w:r>
        <w:t xml:space="preserve">, at 108; Thomasson &amp; Stanley, </w:t>
      </w:r>
      <w:r>
        <w:rPr>
          <w:i/>
        </w:rPr>
        <w:t>supra</w:t>
      </w:r>
      <w:r>
        <w:t xml:space="preserve"> note </w:t>
      </w:r>
      <w:r>
        <w:fldChar w:fldCharType="begin"/>
      </w:r>
      <w:r>
        <w:instrText xml:space="preserve"> NOTEREF _Ref535241457 \h </w:instrText>
      </w:r>
      <w:r>
        <w:fldChar w:fldCharType="separate"/>
      </w:r>
      <w:r>
        <w:t>46</w:t>
      </w:r>
      <w:r>
        <w:fldChar w:fldCharType="end"/>
      </w:r>
      <w:r>
        <w:t>, at 610-11.</w:t>
      </w:r>
    </w:p>
  </w:footnote>
  <w:footnote w:id="49">
    <w:p w14:paraId="3246EBD8" w14:textId="77777777" w:rsidR="00BF48DB" w:rsidRDefault="00BF48DB" w:rsidP="007C1291">
      <w:pPr>
        <w:pStyle w:val="FootnoteText"/>
      </w:pPr>
      <w:r>
        <w:rPr>
          <w:rStyle w:val="FootnoteReference"/>
        </w:rPr>
        <w:footnoteRef/>
      </w:r>
      <w:r>
        <w:t xml:space="preserve"> Sander </w:t>
      </w:r>
      <w:proofErr w:type="spellStart"/>
      <w:r>
        <w:t>Gliboff</w:t>
      </w:r>
      <w:proofErr w:type="spellEnd"/>
      <w:r>
        <w:t xml:space="preserve">, </w:t>
      </w:r>
      <w:r>
        <w:rPr>
          <w:i/>
        </w:rPr>
        <w:t>The Case of Paul Kammerer: Evolution and Experimentation in the Early 20</w:t>
      </w:r>
      <w:r w:rsidRPr="00D53173">
        <w:rPr>
          <w:i/>
          <w:vertAlign w:val="superscript"/>
        </w:rPr>
        <w:t>th</w:t>
      </w:r>
      <w:r>
        <w:rPr>
          <w:i/>
        </w:rPr>
        <w:t xml:space="preserve"> </w:t>
      </w:r>
      <w:r w:rsidRPr="00D53173">
        <w:rPr>
          <w:i/>
        </w:rPr>
        <w:t>Century</w:t>
      </w:r>
      <w:r>
        <w:t xml:space="preserve">, 39 </w:t>
      </w:r>
      <w:r>
        <w:rPr>
          <w:smallCaps/>
        </w:rPr>
        <w:t xml:space="preserve">J. Hist. Biology 525, </w:t>
      </w:r>
      <w:r w:rsidRPr="00D53173">
        <w:t>525</w:t>
      </w:r>
      <w:r>
        <w:t>-26 (2006).</w:t>
      </w:r>
    </w:p>
  </w:footnote>
  <w:footnote w:id="50">
    <w:p w14:paraId="65D2913D" w14:textId="76B21B1A" w:rsidR="00BF48DB" w:rsidRDefault="00BF48DB" w:rsidP="007C1291">
      <w:pPr>
        <w:pStyle w:val="FootnoteText"/>
      </w:pPr>
      <w:r>
        <w:rPr>
          <w:rStyle w:val="FootnoteReference"/>
        </w:rPr>
        <w:footnoteRef/>
      </w:r>
      <w:r>
        <w:t xml:space="preserve"> Lester R. Aronson, </w:t>
      </w:r>
      <w:r w:rsidRPr="00801967">
        <w:rPr>
          <w:i/>
        </w:rPr>
        <w:t>The Case of the Midwife Toad</w:t>
      </w:r>
      <w:r>
        <w:t xml:space="preserve">, 5 </w:t>
      </w:r>
      <w:proofErr w:type="spellStart"/>
      <w:r>
        <w:rPr>
          <w:smallCaps/>
        </w:rPr>
        <w:t>Behav</w:t>
      </w:r>
      <w:proofErr w:type="spellEnd"/>
      <w:r>
        <w:rPr>
          <w:smallCaps/>
        </w:rPr>
        <w:t xml:space="preserve">. Genetics </w:t>
      </w:r>
      <w:r>
        <w:t xml:space="preserve">115, 115 (1975). </w:t>
      </w:r>
      <w:r w:rsidRPr="003910DD">
        <w:t xml:space="preserve">There has been some question, however, </w:t>
      </w:r>
      <w:r>
        <w:t xml:space="preserve">about </w:t>
      </w:r>
      <w:r w:rsidRPr="003910DD">
        <w:t xml:space="preserve">whether Kammerer should be credited with the discovery of epigenetic inheritance. Sander </w:t>
      </w:r>
      <w:proofErr w:type="spellStart"/>
      <w:r w:rsidRPr="003910DD">
        <w:t>Gliboff</w:t>
      </w:r>
      <w:proofErr w:type="spellEnd"/>
      <w:r w:rsidRPr="003910DD">
        <w:t xml:space="preserve">, </w:t>
      </w:r>
      <w:r w:rsidRPr="003910DD">
        <w:rPr>
          <w:i/>
        </w:rPr>
        <w:t>Did Paul Kammerer Discover Epigenetic Inheritance? No and Why Not</w:t>
      </w:r>
      <w:r w:rsidRPr="003910DD">
        <w:t xml:space="preserve">, 314B </w:t>
      </w:r>
      <w:r w:rsidRPr="003910DD">
        <w:rPr>
          <w:smallCaps/>
        </w:rPr>
        <w:t>J. Experimental Zoology</w:t>
      </w:r>
      <w:r w:rsidRPr="003910DD">
        <w:t xml:space="preserve"> 616 (2010).</w:t>
      </w:r>
    </w:p>
  </w:footnote>
  <w:footnote w:id="51">
    <w:p w14:paraId="5A1AADD8" w14:textId="7E772441" w:rsidR="00BF48DB" w:rsidRPr="007708B4" w:rsidRDefault="00BF48DB" w:rsidP="007C1291">
      <w:pPr>
        <w:pStyle w:val="FootnoteText"/>
      </w:pPr>
      <w:r>
        <w:rPr>
          <w:rStyle w:val="FootnoteReference"/>
        </w:rPr>
        <w:footnoteRef/>
      </w:r>
      <w:r>
        <w:t xml:space="preserve"> Thomasson &amp; Stanley, </w:t>
      </w:r>
      <w:r>
        <w:rPr>
          <w:i/>
        </w:rPr>
        <w:t>supra</w:t>
      </w:r>
      <w:r>
        <w:t xml:space="preserve"> note </w:t>
      </w:r>
      <w:r>
        <w:fldChar w:fldCharType="begin"/>
      </w:r>
      <w:r>
        <w:instrText xml:space="preserve"> NOTEREF _Ref535241457 \h </w:instrText>
      </w:r>
      <w:r>
        <w:fldChar w:fldCharType="separate"/>
      </w:r>
      <w:r>
        <w:t>46</w:t>
      </w:r>
      <w:r>
        <w:fldChar w:fldCharType="end"/>
      </w:r>
      <w:r>
        <w:t xml:space="preserve">, at 610 (citing Conway Zirkle, </w:t>
      </w:r>
      <w:r>
        <w:rPr>
          <w:i/>
        </w:rPr>
        <w:t>Citation of Fraudulent Data</w:t>
      </w:r>
      <w:r>
        <w:t xml:space="preserve">, 120 </w:t>
      </w:r>
      <w:r>
        <w:rPr>
          <w:smallCaps/>
        </w:rPr>
        <w:t xml:space="preserve">Science </w:t>
      </w:r>
      <w:r>
        <w:t>189 (1954)).</w:t>
      </w:r>
    </w:p>
  </w:footnote>
  <w:footnote w:id="52">
    <w:p w14:paraId="4C8C2BC2" w14:textId="52EBFF33" w:rsidR="00BF48DB" w:rsidRDefault="00BF48DB" w:rsidP="007C1291">
      <w:pPr>
        <w:pStyle w:val="FootnoteText"/>
      </w:pPr>
      <w:r>
        <w:rPr>
          <w:rStyle w:val="FootnoteReference"/>
        </w:rPr>
        <w:footnoteRef/>
      </w:r>
      <w:r>
        <w:t xml:space="preserve"> Carol Ann </w:t>
      </w:r>
      <w:proofErr w:type="spellStart"/>
      <w:r>
        <w:t>Kochan</w:t>
      </w:r>
      <w:proofErr w:type="spellEnd"/>
      <w:r>
        <w:t xml:space="preserve"> &amp; John M. Budd, </w:t>
      </w:r>
      <w:r>
        <w:rPr>
          <w:i/>
        </w:rPr>
        <w:t xml:space="preserve">The Persistence of Fraud in the Literature: The </w:t>
      </w:r>
      <w:proofErr w:type="spellStart"/>
      <w:r>
        <w:rPr>
          <w:i/>
        </w:rPr>
        <w:t>Darsee</w:t>
      </w:r>
      <w:proofErr w:type="spellEnd"/>
      <w:r>
        <w:rPr>
          <w:i/>
        </w:rPr>
        <w:t xml:space="preserve"> Case,</w:t>
      </w:r>
      <w:r>
        <w:t xml:space="preserve"> 43 </w:t>
      </w:r>
      <w:r>
        <w:rPr>
          <w:smallCaps/>
        </w:rPr>
        <w:t xml:space="preserve">J. Am. Soc. Info. Sci. 488, </w:t>
      </w:r>
      <w:r>
        <w:t>489-90, 492-93 (1992).</w:t>
      </w:r>
    </w:p>
  </w:footnote>
  <w:footnote w:id="53">
    <w:p w14:paraId="387787B8" w14:textId="77777777" w:rsidR="00BF48DB" w:rsidRPr="00976325" w:rsidRDefault="00BF48DB" w:rsidP="007C1291">
      <w:pPr>
        <w:pStyle w:val="FootnoteText"/>
      </w:pPr>
      <w:r>
        <w:rPr>
          <w:rStyle w:val="FootnoteReference"/>
        </w:rPr>
        <w:footnoteRef/>
      </w:r>
      <w:r>
        <w:t xml:space="preserve"> Robert J.H. Miller et al., </w:t>
      </w:r>
      <w:r>
        <w:rPr>
          <w:i/>
        </w:rPr>
        <w:t>Re-feeding Syndrome and Alcoholic Cardiomyopathy: A Case of Interacting Diagnoses</w:t>
      </w:r>
      <w:r>
        <w:t xml:space="preserve">, 14 </w:t>
      </w:r>
      <w:r>
        <w:rPr>
          <w:smallCaps/>
        </w:rPr>
        <w:t>J. Cardiology Cases</w:t>
      </w:r>
      <w:r>
        <w:t xml:space="preserve"> 90, 92 (2016) (citing J.R. </w:t>
      </w:r>
      <w:proofErr w:type="spellStart"/>
      <w:r>
        <w:t>Darsee</w:t>
      </w:r>
      <w:proofErr w:type="spellEnd"/>
      <w:r>
        <w:t xml:space="preserve"> &amp; D.O. </w:t>
      </w:r>
      <w:proofErr w:type="spellStart"/>
      <w:r>
        <w:t>Nutter</w:t>
      </w:r>
      <w:proofErr w:type="spellEnd"/>
      <w:r>
        <w:t xml:space="preserve">, </w:t>
      </w:r>
      <w:r>
        <w:rPr>
          <w:i/>
        </w:rPr>
        <w:t>Reversible Severe Congestive Cardiomyopathy in Three Cases of Hypophosphatemia</w:t>
      </w:r>
      <w:r>
        <w:t xml:space="preserve">, 89 </w:t>
      </w:r>
      <w:r>
        <w:rPr>
          <w:smallCaps/>
        </w:rPr>
        <w:t>Ann. Intern. Med.</w:t>
      </w:r>
      <w:r>
        <w:t xml:space="preserve"> 867 (1978)).</w:t>
      </w:r>
    </w:p>
  </w:footnote>
  <w:footnote w:id="54">
    <w:p w14:paraId="5C9E7A4E" w14:textId="6E73FDEA" w:rsidR="00BF48DB" w:rsidRPr="00201B60" w:rsidRDefault="00BF48DB" w:rsidP="007C1291">
      <w:pPr>
        <w:pStyle w:val="FootnoteText"/>
      </w:pPr>
      <w:r>
        <w:rPr>
          <w:rStyle w:val="FootnoteReference"/>
        </w:rPr>
        <w:footnoteRef/>
      </w:r>
      <w:r>
        <w:t xml:space="preserve"> Robbins, </w:t>
      </w:r>
      <w:r>
        <w:rPr>
          <w:i/>
        </w:rPr>
        <w:t>supra</w:t>
      </w:r>
      <w:r>
        <w:t xml:space="preserve"> note </w:t>
      </w:r>
      <w:r>
        <w:fldChar w:fldCharType="begin"/>
      </w:r>
      <w:r>
        <w:instrText xml:space="preserve"> NOTEREF _Ref535241673 \h </w:instrText>
      </w:r>
      <w:r>
        <w:fldChar w:fldCharType="separate"/>
      </w:r>
      <w:r>
        <w:t>45</w:t>
      </w:r>
      <w:r>
        <w:fldChar w:fldCharType="end"/>
      </w:r>
      <w:r>
        <w:t>, at 1048.</w:t>
      </w:r>
    </w:p>
  </w:footnote>
  <w:footnote w:id="55">
    <w:p w14:paraId="46C6E1B8" w14:textId="77777777" w:rsidR="00BF48DB" w:rsidRPr="00083D7D" w:rsidRDefault="00BF48DB" w:rsidP="007C1291">
      <w:pPr>
        <w:pStyle w:val="FootnoteText"/>
      </w:pPr>
      <w:r>
        <w:rPr>
          <w:rStyle w:val="FootnoteReference"/>
        </w:rPr>
        <w:footnoteRef/>
      </w:r>
      <w:r>
        <w:t xml:space="preserve"> According to the editors of </w:t>
      </w:r>
      <w:r w:rsidRPr="00BE2B1A">
        <w:rPr>
          <w:i/>
        </w:rPr>
        <w:t>Nature</w:t>
      </w:r>
      <w:r>
        <w:t>, “[l]</w:t>
      </w:r>
      <w:proofErr w:type="spellStart"/>
      <w:r w:rsidRPr="00083D7D">
        <w:t>etters</w:t>
      </w:r>
      <w:proofErr w:type="spellEnd"/>
      <w:r w:rsidRPr="00083D7D">
        <w:t xml:space="preserve"> are short reports of original research focused on an outstanding finding whose importance means that it will be of interest to scientists in other fields.</w:t>
      </w:r>
      <w:r>
        <w:t xml:space="preserve">” </w:t>
      </w:r>
      <w:r w:rsidRPr="005D1B56">
        <w:rPr>
          <w:i/>
        </w:rPr>
        <w:t>Formatting Guide</w:t>
      </w:r>
      <w:r>
        <w:t xml:space="preserve">, </w:t>
      </w:r>
      <w:r>
        <w:rPr>
          <w:smallCaps/>
        </w:rPr>
        <w:t>Nature</w:t>
      </w:r>
      <w:r>
        <w:t xml:space="preserve">, </w:t>
      </w:r>
      <w:r w:rsidRPr="00083D7D">
        <w:t>https://www.nature.com/nature/for-authors/formatting-guide</w:t>
      </w:r>
      <w:r>
        <w:t>.</w:t>
      </w:r>
    </w:p>
  </w:footnote>
  <w:footnote w:id="56">
    <w:p w14:paraId="56CE3273" w14:textId="62EF2DD3" w:rsidR="00BF48DB" w:rsidRPr="00AC5722" w:rsidRDefault="00BF48DB" w:rsidP="007C1291">
      <w:pPr>
        <w:pStyle w:val="FootnoteText"/>
      </w:pPr>
      <w:r>
        <w:rPr>
          <w:rStyle w:val="FootnoteReference"/>
        </w:rPr>
        <w:footnoteRef/>
      </w:r>
      <w:r>
        <w:t xml:space="preserve"> N.S. </w:t>
      </w:r>
      <w:proofErr w:type="spellStart"/>
      <w:r>
        <w:t>Keenlyside</w:t>
      </w:r>
      <w:proofErr w:type="spellEnd"/>
      <w:r>
        <w:t xml:space="preserve"> et al., </w:t>
      </w:r>
      <w:r w:rsidRPr="00EC4D36">
        <w:rPr>
          <w:i/>
        </w:rPr>
        <w:t>Advancing Decadal-Scale Climate Prediction in the North Atlantic Sector</w:t>
      </w:r>
      <w:r>
        <w:t xml:space="preserve">, 453 </w:t>
      </w:r>
      <w:r>
        <w:rPr>
          <w:smallCaps/>
        </w:rPr>
        <w:t>Nature</w:t>
      </w:r>
      <w:r>
        <w:t xml:space="preserve"> 84, 84 (2008).</w:t>
      </w:r>
    </w:p>
  </w:footnote>
  <w:footnote w:id="57">
    <w:p w14:paraId="3F72411E" w14:textId="68622D75" w:rsidR="00BF48DB" w:rsidRPr="006A291C" w:rsidRDefault="00BF48DB" w:rsidP="007C1291">
      <w:pPr>
        <w:pStyle w:val="FootnoteText"/>
      </w:pPr>
      <w:r>
        <w:rPr>
          <w:rStyle w:val="FootnoteReference"/>
        </w:rPr>
        <w:footnoteRef/>
      </w:r>
      <w:r>
        <w:t xml:space="preserve"> </w:t>
      </w:r>
      <w:r>
        <w:rPr>
          <w:i/>
        </w:rPr>
        <w:t>Id.</w:t>
      </w:r>
    </w:p>
  </w:footnote>
  <w:footnote w:id="58">
    <w:p w14:paraId="1D38DF7C" w14:textId="77777777" w:rsidR="00BF48DB" w:rsidRPr="00907FE0" w:rsidRDefault="00BF48DB" w:rsidP="007C1291">
      <w:pPr>
        <w:pStyle w:val="FootnoteText"/>
      </w:pPr>
      <w:r>
        <w:rPr>
          <w:rStyle w:val="FootnoteReference"/>
        </w:rPr>
        <w:footnoteRef/>
      </w:r>
      <w:r>
        <w:t xml:space="preserve"> </w:t>
      </w:r>
      <w:r>
        <w:rPr>
          <w:i/>
        </w:rPr>
        <w:t>Id.</w:t>
      </w:r>
    </w:p>
  </w:footnote>
  <w:footnote w:id="59">
    <w:p w14:paraId="29E26BBE" w14:textId="77777777" w:rsidR="00BF48DB" w:rsidRPr="00907FE0" w:rsidRDefault="00BF48DB" w:rsidP="007C1291">
      <w:pPr>
        <w:pStyle w:val="FootnoteText"/>
      </w:pPr>
      <w:r w:rsidRPr="00907FE0">
        <w:rPr>
          <w:rStyle w:val="FootnoteReference"/>
        </w:rPr>
        <w:footnoteRef/>
      </w:r>
      <w:r w:rsidRPr="00907FE0">
        <w:t xml:space="preserve"> </w:t>
      </w:r>
      <w:r w:rsidRPr="00907FE0">
        <w:rPr>
          <w:i/>
        </w:rPr>
        <w:t>Id.</w:t>
      </w:r>
    </w:p>
  </w:footnote>
  <w:footnote w:id="60">
    <w:p w14:paraId="6E4C2DBD" w14:textId="77777777" w:rsidR="00BF48DB" w:rsidRPr="00907FE0" w:rsidRDefault="00BF48DB" w:rsidP="007C1291">
      <w:pPr>
        <w:pStyle w:val="FootnoteText"/>
      </w:pPr>
      <w:r w:rsidRPr="00907FE0">
        <w:rPr>
          <w:rStyle w:val="FootnoteReference"/>
        </w:rPr>
        <w:footnoteRef/>
      </w:r>
      <w:r w:rsidRPr="00907FE0">
        <w:t xml:space="preserve"> </w:t>
      </w:r>
      <w:r w:rsidRPr="00907FE0">
        <w:rPr>
          <w:i/>
        </w:rPr>
        <w:t>Id.</w:t>
      </w:r>
      <w:r w:rsidRPr="00907FE0">
        <w:t xml:space="preserve"> A meridional overturning circulation is a “system of surface and deep currents encompassing all ocean basins” that is “of critical importance to the global climate system.” Andreas </w:t>
      </w:r>
      <w:proofErr w:type="spellStart"/>
      <w:r w:rsidRPr="00907FE0">
        <w:t>Schmitter</w:t>
      </w:r>
      <w:proofErr w:type="spellEnd"/>
      <w:r w:rsidRPr="00907FE0">
        <w:t xml:space="preserve"> et al., </w:t>
      </w:r>
      <w:r w:rsidRPr="00907FE0">
        <w:rPr>
          <w:i/>
        </w:rPr>
        <w:t>Introduction: The Ocean’s Meridional Overturning Circulation</w:t>
      </w:r>
      <w:r w:rsidRPr="00907FE0">
        <w:t xml:space="preserve">, </w:t>
      </w:r>
      <w:r w:rsidRPr="00907FE0">
        <w:rPr>
          <w:i/>
        </w:rPr>
        <w:t xml:space="preserve">in </w:t>
      </w:r>
      <w:r w:rsidRPr="00907FE0">
        <w:rPr>
          <w:smallCaps/>
        </w:rPr>
        <w:t>Ocean Circulation: Mechanisms and Impacts—Past and Future Changes of Meridional Overturning</w:t>
      </w:r>
      <w:r w:rsidRPr="00907FE0">
        <w:t xml:space="preserve"> 1, 1 (A. </w:t>
      </w:r>
      <w:proofErr w:type="spellStart"/>
      <w:r w:rsidRPr="00907FE0">
        <w:t>Schmitter</w:t>
      </w:r>
      <w:proofErr w:type="spellEnd"/>
      <w:r w:rsidRPr="00907FE0">
        <w:t xml:space="preserve"> et al., eds. 2013).</w:t>
      </w:r>
    </w:p>
  </w:footnote>
  <w:footnote w:id="61">
    <w:p w14:paraId="7B83A411" w14:textId="3C3957F3" w:rsidR="00BF48DB" w:rsidRPr="00907FE0" w:rsidRDefault="00BF48DB" w:rsidP="007C1291">
      <w:pPr>
        <w:pStyle w:val="FootnoteText"/>
      </w:pPr>
      <w:r w:rsidRPr="00907FE0">
        <w:rPr>
          <w:rStyle w:val="FootnoteReference"/>
        </w:rPr>
        <w:footnoteRef/>
      </w:r>
      <w:r w:rsidRPr="00907FE0">
        <w:t xml:space="preserve"> </w:t>
      </w:r>
      <w:proofErr w:type="spellStart"/>
      <w:r w:rsidRPr="00907FE0">
        <w:t>Keenlyside</w:t>
      </w:r>
      <w:proofErr w:type="spellEnd"/>
      <w:r w:rsidRPr="00907FE0">
        <w:t xml:space="preserve">, </w:t>
      </w:r>
      <w:r w:rsidRPr="00907FE0">
        <w:rPr>
          <w:i/>
        </w:rPr>
        <w:t>supra</w:t>
      </w:r>
      <w:r w:rsidRPr="00907FE0">
        <w:t xml:space="preserve"> note</w:t>
      </w:r>
      <w:r>
        <w:t xml:space="preserve"> </w:t>
      </w:r>
      <w:r>
        <w:fldChar w:fldCharType="begin"/>
      </w:r>
      <w:r>
        <w:instrText xml:space="preserve"> NOTEREF _Ref535241707 \h </w:instrText>
      </w:r>
      <w:r>
        <w:fldChar w:fldCharType="separate"/>
      </w:r>
      <w:r>
        <w:t>55</w:t>
      </w:r>
      <w:r>
        <w:fldChar w:fldCharType="end"/>
      </w:r>
      <w:r w:rsidRPr="00907FE0">
        <w:t>, at 87.</w:t>
      </w:r>
    </w:p>
  </w:footnote>
  <w:footnote w:id="62">
    <w:p w14:paraId="446381B6" w14:textId="661F4EF7" w:rsidR="00BF48DB" w:rsidRPr="002B76DF" w:rsidRDefault="00BF48DB">
      <w:pPr>
        <w:pStyle w:val="FootnoteText"/>
        <w:rPr>
          <w:i/>
        </w:rPr>
      </w:pPr>
      <w:r>
        <w:rPr>
          <w:rStyle w:val="FootnoteReference"/>
        </w:rPr>
        <w:footnoteRef/>
      </w:r>
      <w:r>
        <w:t xml:space="preserve"> </w:t>
      </w:r>
      <w:r>
        <w:rPr>
          <w:i/>
        </w:rPr>
        <w:t>Id.</w:t>
      </w:r>
    </w:p>
  </w:footnote>
  <w:footnote w:id="63">
    <w:p w14:paraId="3873F397" w14:textId="7EEFCA22" w:rsidR="00BF48DB" w:rsidRPr="00907FE0" w:rsidRDefault="00BF48DB" w:rsidP="007C1291">
      <w:pPr>
        <w:pStyle w:val="FootnoteText"/>
      </w:pPr>
      <w:r w:rsidRPr="00907FE0">
        <w:rPr>
          <w:rStyle w:val="FootnoteReference"/>
        </w:rPr>
        <w:footnoteRef/>
      </w:r>
      <w:r w:rsidRPr="00907FE0">
        <w:t xml:space="preserve"> Charles W. Schmidt, </w:t>
      </w:r>
      <w:r w:rsidRPr="00907FE0">
        <w:rPr>
          <w:i/>
        </w:rPr>
        <w:t>Communication Gap: The Disconnect between What Scientists Say and What the Public Hears</w:t>
      </w:r>
      <w:r w:rsidRPr="00907FE0">
        <w:t xml:space="preserve">, 117 </w:t>
      </w:r>
      <w:proofErr w:type="spellStart"/>
      <w:r w:rsidRPr="00907FE0">
        <w:rPr>
          <w:smallCaps/>
        </w:rPr>
        <w:t>Envt’l</w:t>
      </w:r>
      <w:proofErr w:type="spellEnd"/>
      <w:r w:rsidRPr="00907FE0">
        <w:rPr>
          <w:smallCaps/>
        </w:rPr>
        <w:t xml:space="preserve"> Health </w:t>
      </w:r>
      <w:proofErr w:type="spellStart"/>
      <w:r w:rsidRPr="00907FE0">
        <w:rPr>
          <w:smallCaps/>
        </w:rPr>
        <w:t>Persp</w:t>
      </w:r>
      <w:proofErr w:type="spellEnd"/>
      <w:r>
        <w:rPr>
          <w:smallCaps/>
        </w:rPr>
        <w:t>.</w:t>
      </w:r>
      <w:r w:rsidRPr="00907FE0">
        <w:t xml:space="preserve"> A548, A549-A550 (2009).</w:t>
      </w:r>
    </w:p>
  </w:footnote>
  <w:footnote w:id="64">
    <w:p w14:paraId="5354C4D7" w14:textId="2043FA46" w:rsidR="00BF48DB" w:rsidRPr="00907FE0" w:rsidRDefault="00BF48DB" w:rsidP="007C1291">
      <w:pPr>
        <w:pStyle w:val="FootnoteText"/>
      </w:pPr>
      <w:r w:rsidRPr="00907FE0">
        <w:rPr>
          <w:rStyle w:val="FootnoteReference"/>
        </w:rPr>
        <w:footnoteRef/>
      </w:r>
      <w:r w:rsidRPr="00907FE0">
        <w:t xml:space="preserve"> Lorne Gunter, </w:t>
      </w:r>
      <w:r w:rsidRPr="00907FE0">
        <w:rPr>
          <w:i/>
        </w:rPr>
        <w:t>Leading Global Warming Proponent Pulls an About Face</w:t>
      </w:r>
      <w:r w:rsidRPr="00907FE0">
        <w:t xml:space="preserve">, </w:t>
      </w:r>
      <w:r w:rsidRPr="00907FE0">
        <w:rPr>
          <w:smallCaps/>
        </w:rPr>
        <w:t>Calgary Herald</w:t>
      </w:r>
      <w:r>
        <w:rPr>
          <w:smallCaps/>
        </w:rPr>
        <w:t xml:space="preserve"> (</w:t>
      </w:r>
      <w:r>
        <w:t>Sep. 19,</w:t>
      </w:r>
      <w:r w:rsidRPr="00907FE0">
        <w:t xml:space="preserve"> 2009</w:t>
      </w:r>
      <w:r>
        <w:t>)</w:t>
      </w:r>
      <w:r w:rsidRPr="00907FE0">
        <w:t>,</w:t>
      </w:r>
      <w:r>
        <w:t xml:space="preserve"> </w:t>
      </w:r>
      <w:r w:rsidRPr="00B50A86">
        <w:t>https://www.sott.net/article/193829-Leading-global-warming-proponent-pulls-an-about-face</w:t>
      </w:r>
      <w:r>
        <w:t xml:space="preserve">. </w:t>
      </w:r>
    </w:p>
  </w:footnote>
  <w:footnote w:id="65">
    <w:p w14:paraId="761055E7" w14:textId="77777777" w:rsidR="00BF48DB" w:rsidRPr="00B50A86" w:rsidRDefault="00BF48DB" w:rsidP="007C1291">
      <w:pPr>
        <w:pStyle w:val="FootnoteText"/>
      </w:pPr>
      <w:r>
        <w:rPr>
          <w:rStyle w:val="FootnoteReference"/>
        </w:rPr>
        <w:footnoteRef/>
      </w:r>
      <w:r>
        <w:t xml:space="preserve"> </w:t>
      </w:r>
      <w:r>
        <w:rPr>
          <w:i/>
        </w:rPr>
        <w:t>See</w:t>
      </w:r>
      <w:r>
        <w:t xml:space="preserve"> Shane </w:t>
      </w:r>
      <w:proofErr w:type="spellStart"/>
      <w:r>
        <w:t>Gunster</w:t>
      </w:r>
      <w:proofErr w:type="spellEnd"/>
      <w:r>
        <w:t xml:space="preserve">, </w:t>
      </w:r>
      <w:r>
        <w:rPr>
          <w:i/>
        </w:rPr>
        <w:t xml:space="preserve">Storylines in the Sands: News Narrative, and Ideology in the </w:t>
      </w:r>
      <w:r>
        <w:t xml:space="preserve">Calgary Herald, 39 </w:t>
      </w:r>
      <w:r>
        <w:rPr>
          <w:smallCaps/>
        </w:rPr>
        <w:t>Can. J. Comm.</w:t>
      </w:r>
      <w:r>
        <w:t xml:space="preserve"> 333, 333-34, 351-53 (2014) (accusing the Herald of unfairly reframing environmental groups protesting pipeline construction as engaging in victimization of vulnerable corporations and honest Albertans); Yale </w:t>
      </w:r>
      <w:proofErr w:type="spellStart"/>
      <w:r>
        <w:t>Belander</w:t>
      </w:r>
      <w:proofErr w:type="spellEnd"/>
      <w:r>
        <w:t xml:space="preserve">, </w:t>
      </w:r>
      <w:r>
        <w:rPr>
          <w:i/>
        </w:rPr>
        <w:t>Journalistic Opinion as Free Speech or Promoting Racial Unrest? The Case of Ric Dolphin and the Calgary Herald’s Editorial Presentation of Native Culture</w:t>
      </w:r>
      <w:r>
        <w:t xml:space="preserve">, 26 </w:t>
      </w:r>
      <w:r>
        <w:rPr>
          <w:smallCaps/>
        </w:rPr>
        <w:t>Am. Indian Q.</w:t>
      </w:r>
      <w:r>
        <w:t xml:space="preserve"> 393, 401 (2002) (criticizing a Herald op-ed as “racist in scope and not supportable upon investigation of more reliable statistical data.”).</w:t>
      </w:r>
    </w:p>
  </w:footnote>
  <w:footnote w:id="66">
    <w:p w14:paraId="6BBC6B0A" w14:textId="08421032" w:rsidR="00BF48DB" w:rsidRPr="004C5C20" w:rsidRDefault="00BF48DB" w:rsidP="007C1291">
      <w:pPr>
        <w:pStyle w:val="FootnoteText"/>
      </w:pPr>
      <w:r w:rsidRPr="00907FE0">
        <w:rPr>
          <w:rStyle w:val="FootnoteReference"/>
        </w:rPr>
        <w:footnoteRef/>
      </w:r>
      <w:r w:rsidRPr="00907FE0">
        <w:t xml:space="preserve"> </w:t>
      </w:r>
      <w:r>
        <w:t xml:space="preserve">Gunter, </w:t>
      </w:r>
      <w:r>
        <w:rPr>
          <w:i/>
        </w:rPr>
        <w:t xml:space="preserve">supra </w:t>
      </w:r>
      <w:r>
        <w:t xml:space="preserve">note </w:t>
      </w:r>
      <w:r>
        <w:fldChar w:fldCharType="begin"/>
      </w:r>
      <w:r>
        <w:instrText xml:space="preserve"> NOTEREF _Ref535242103 \h </w:instrText>
      </w:r>
      <w:r>
        <w:fldChar w:fldCharType="separate"/>
      </w:r>
      <w:r>
        <w:t>63</w:t>
      </w:r>
      <w:r>
        <w:fldChar w:fldCharType="end"/>
      </w:r>
      <w:r>
        <w:t>.</w:t>
      </w:r>
    </w:p>
  </w:footnote>
  <w:footnote w:id="67">
    <w:p w14:paraId="48EED335" w14:textId="69740E27" w:rsidR="00BF48DB" w:rsidRPr="000915B7" w:rsidRDefault="00BF48DB" w:rsidP="007C1291">
      <w:pPr>
        <w:pStyle w:val="FootnoteText"/>
      </w:pPr>
      <w:r>
        <w:rPr>
          <w:rStyle w:val="FootnoteReference"/>
        </w:rPr>
        <w:footnoteRef/>
      </w:r>
      <w:r>
        <w:t xml:space="preserve"> P.J. </w:t>
      </w:r>
      <w:proofErr w:type="spellStart"/>
      <w:r>
        <w:t>Gladnick</w:t>
      </w:r>
      <w:proofErr w:type="spellEnd"/>
      <w:r>
        <w:t xml:space="preserve">, </w:t>
      </w:r>
      <w:r w:rsidRPr="000915B7">
        <w:rPr>
          <w:i/>
        </w:rPr>
        <w:t>U.S. Media Ignoring About Face by Leading Global Warning Proponent</w:t>
      </w:r>
      <w:r>
        <w:t xml:space="preserve">, MRC </w:t>
      </w:r>
      <w:proofErr w:type="spellStart"/>
      <w:r>
        <w:rPr>
          <w:smallCaps/>
        </w:rPr>
        <w:t>NewsBusters</w:t>
      </w:r>
      <w:proofErr w:type="spellEnd"/>
      <w:r>
        <w:t xml:space="preserve">, Sept. 20, 2009, </w:t>
      </w:r>
      <w:r w:rsidRPr="000915B7">
        <w:t>https://www.newsbusters.org/blogs/nb/pj-gladnick/2009/09/20/us-media-ignoring-about-face-leading-global-warming-proponent</w:t>
      </w:r>
      <w:r>
        <w:t xml:space="preserve">. </w:t>
      </w:r>
    </w:p>
  </w:footnote>
  <w:footnote w:id="68">
    <w:p w14:paraId="0D29855A" w14:textId="77777777" w:rsidR="00BF48DB" w:rsidRPr="0002015F" w:rsidRDefault="00BF48DB" w:rsidP="007C1291">
      <w:pPr>
        <w:pStyle w:val="FootnoteText"/>
      </w:pPr>
      <w:r>
        <w:rPr>
          <w:rStyle w:val="FootnoteReference"/>
        </w:rPr>
        <w:footnoteRef/>
      </w:r>
      <w:r>
        <w:t xml:space="preserve"> </w:t>
      </w:r>
      <w:r>
        <w:rPr>
          <w:i/>
        </w:rPr>
        <w:t>See, e.g.,</w:t>
      </w:r>
      <w:r>
        <w:t xml:space="preserve"> PJ-Comix, </w:t>
      </w:r>
      <w:r w:rsidRPr="00D031E7">
        <w:rPr>
          <w:smallCaps/>
        </w:rPr>
        <w:t>Free Republic</w:t>
      </w:r>
      <w:r>
        <w:t xml:space="preserve">, Sep. 20, 2009, </w:t>
      </w:r>
      <w:r w:rsidRPr="0002015F">
        <w:t>http://www.freerepublic.com/focus/f-news/2344168/posts</w:t>
      </w:r>
      <w:r>
        <w:t>.</w:t>
      </w:r>
    </w:p>
  </w:footnote>
  <w:footnote w:id="69">
    <w:p w14:paraId="0CED9328" w14:textId="246AFE62" w:rsidR="00BF48DB" w:rsidRPr="00E32552" w:rsidRDefault="00BF48DB" w:rsidP="007C1291">
      <w:pPr>
        <w:pStyle w:val="FootnoteText"/>
      </w:pPr>
      <w:r>
        <w:rPr>
          <w:rStyle w:val="FootnoteReference"/>
        </w:rPr>
        <w:footnoteRef/>
      </w:r>
      <w:r>
        <w:t xml:space="preserve"> Schmidt, </w:t>
      </w:r>
      <w:r>
        <w:rPr>
          <w:i/>
        </w:rPr>
        <w:t xml:space="preserve">supra </w:t>
      </w:r>
      <w:r>
        <w:t xml:space="preserve">note </w:t>
      </w:r>
      <w:r>
        <w:fldChar w:fldCharType="begin"/>
      </w:r>
      <w:r>
        <w:instrText xml:space="preserve"> NOTEREF _Ref516586084 \h </w:instrText>
      </w:r>
      <w:r>
        <w:fldChar w:fldCharType="separate"/>
      </w:r>
      <w:r>
        <w:t>62</w:t>
      </w:r>
      <w:r>
        <w:fldChar w:fldCharType="end"/>
      </w:r>
      <w:r>
        <w:t>, at A550.</w:t>
      </w:r>
    </w:p>
  </w:footnote>
  <w:footnote w:id="70">
    <w:p w14:paraId="1133279F" w14:textId="36EE6C7B" w:rsidR="00BF48DB" w:rsidRPr="002B76DF" w:rsidRDefault="00BF48DB" w:rsidP="007C1291">
      <w:pPr>
        <w:pStyle w:val="FootnoteText"/>
      </w:pPr>
      <w:r>
        <w:rPr>
          <w:rStyle w:val="FootnoteReference"/>
        </w:rPr>
        <w:footnoteRef/>
      </w:r>
      <w:r>
        <w:t xml:space="preserve"> </w:t>
      </w:r>
      <w:r>
        <w:rPr>
          <w:i/>
        </w:rPr>
        <w:t>Id.</w:t>
      </w:r>
    </w:p>
  </w:footnote>
  <w:footnote w:id="71">
    <w:p w14:paraId="7283BA2D" w14:textId="1E1F2037" w:rsidR="00BF48DB" w:rsidRPr="003910DD" w:rsidRDefault="00BF48DB">
      <w:pPr>
        <w:pStyle w:val="FootnoteText"/>
      </w:pPr>
      <w:r>
        <w:rPr>
          <w:rStyle w:val="FootnoteReference"/>
        </w:rPr>
        <w:footnoteRef/>
      </w:r>
      <w:r>
        <w:t xml:space="preserve"> One such exception is climate change, whereby overwhelming scientific research and consensus has been subverted for political gain. </w:t>
      </w:r>
      <w:r>
        <w:rPr>
          <w:i/>
        </w:rPr>
        <w:t xml:space="preserve">See </w:t>
      </w:r>
      <w:proofErr w:type="spellStart"/>
      <w:r>
        <w:t>Coplan</w:t>
      </w:r>
      <w:proofErr w:type="spellEnd"/>
      <w:r>
        <w:t xml:space="preserve">, </w:t>
      </w:r>
      <w:r>
        <w:rPr>
          <w:i/>
        </w:rPr>
        <w:t>supra</w:t>
      </w:r>
      <w:r>
        <w:t xml:space="preserve"> note </w:t>
      </w:r>
      <w:r>
        <w:fldChar w:fldCharType="begin"/>
      </w:r>
      <w:r>
        <w:instrText xml:space="preserve"> NOTEREF _Ref535242147 \h </w:instrText>
      </w:r>
      <w:r>
        <w:fldChar w:fldCharType="separate"/>
      </w:r>
      <w:r>
        <w:t>3</w:t>
      </w:r>
      <w:r>
        <w:fldChar w:fldCharType="end"/>
      </w:r>
      <w:r>
        <w:t>9, at 552-53.</w:t>
      </w:r>
    </w:p>
  </w:footnote>
  <w:footnote w:id="72">
    <w:p w14:paraId="4871B3F7" w14:textId="55C1BA27" w:rsidR="00BF48DB" w:rsidRPr="00765FB7" w:rsidRDefault="00BF48DB">
      <w:pPr>
        <w:pStyle w:val="FootnoteText"/>
      </w:pPr>
      <w:r>
        <w:rPr>
          <w:rStyle w:val="FootnoteReference"/>
        </w:rPr>
        <w:footnoteRef/>
      </w:r>
      <w:r>
        <w:t xml:space="preserve"> Lorna Wing, </w:t>
      </w:r>
      <w:r>
        <w:rPr>
          <w:i/>
        </w:rPr>
        <w:t>The History of Ideas on Autism</w:t>
      </w:r>
      <w:r>
        <w:t xml:space="preserve">, 1 </w:t>
      </w:r>
      <w:r>
        <w:rPr>
          <w:smallCaps/>
        </w:rPr>
        <w:t>Autism</w:t>
      </w:r>
      <w:r>
        <w:t xml:space="preserve"> 13, 16-17 (1997).</w:t>
      </w:r>
    </w:p>
  </w:footnote>
  <w:footnote w:id="73">
    <w:p w14:paraId="7A7F7FAA" w14:textId="2A01DA00" w:rsidR="00BF48DB" w:rsidRPr="007F3993" w:rsidRDefault="00BF48DB" w:rsidP="00A57355">
      <w:pPr>
        <w:pStyle w:val="FootnoteText"/>
        <w:rPr>
          <w:i/>
        </w:rPr>
      </w:pPr>
      <w:r>
        <w:rPr>
          <w:rStyle w:val="FootnoteReference"/>
        </w:rPr>
        <w:footnoteRef/>
      </w:r>
      <w:r>
        <w:t xml:space="preserve"> </w:t>
      </w:r>
      <w:r>
        <w:rPr>
          <w:i/>
        </w:rPr>
        <w:t>Id.</w:t>
      </w:r>
    </w:p>
  </w:footnote>
  <w:footnote w:id="74">
    <w:p w14:paraId="4674B6CB" w14:textId="56232F93" w:rsidR="00BF48DB" w:rsidRPr="007F3993" w:rsidRDefault="00BF48DB">
      <w:pPr>
        <w:pStyle w:val="FootnoteText"/>
        <w:rPr>
          <w:i/>
        </w:rPr>
      </w:pPr>
      <w:r>
        <w:rPr>
          <w:rStyle w:val="FootnoteReference"/>
        </w:rPr>
        <w:footnoteRef/>
      </w:r>
      <w:r>
        <w:t xml:space="preserve"> </w:t>
      </w:r>
      <w:r>
        <w:rPr>
          <w:i/>
        </w:rPr>
        <w:t>Id.</w:t>
      </w:r>
    </w:p>
  </w:footnote>
  <w:footnote w:id="75">
    <w:p w14:paraId="53EE66FD" w14:textId="016378E4" w:rsidR="00BF48DB" w:rsidRPr="007F3993" w:rsidRDefault="00BF48DB">
      <w:pPr>
        <w:pStyle w:val="FootnoteText"/>
      </w:pPr>
      <w:r>
        <w:rPr>
          <w:rStyle w:val="FootnoteReference"/>
        </w:rPr>
        <w:footnoteRef/>
      </w:r>
      <w:r>
        <w:t xml:space="preserve"> </w:t>
      </w:r>
      <w:r>
        <w:rPr>
          <w:i/>
        </w:rPr>
        <w:t>Id.</w:t>
      </w:r>
    </w:p>
  </w:footnote>
  <w:footnote w:id="76">
    <w:p w14:paraId="65FF4F11" w14:textId="0E4E54EA" w:rsidR="00BF48DB" w:rsidRDefault="00BF48DB">
      <w:pPr>
        <w:pStyle w:val="FootnoteText"/>
      </w:pPr>
      <w:r>
        <w:rPr>
          <w:rStyle w:val="FootnoteReference"/>
        </w:rPr>
        <w:footnoteRef/>
      </w:r>
      <w:r>
        <w:t xml:space="preserve"> </w:t>
      </w:r>
      <w:r w:rsidRPr="0057458B">
        <w:t>Andrew </w:t>
      </w:r>
      <w:r w:rsidRPr="008B58CE">
        <w:rPr>
          <w:bCs/>
        </w:rPr>
        <w:t>Wakefield</w:t>
      </w:r>
      <w:r>
        <w:rPr>
          <w:bCs/>
        </w:rPr>
        <w:t xml:space="preserve"> et al.</w:t>
      </w:r>
      <w:r w:rsidRPr="0057458B">
        <w:t>, </w:t>
      </w:r>
      <w:r w:rsidRPr="0057458B">
        <w:rPr>
          <w:i/>
          <w:iCs/>
        </w:rPr>
        <w:t xml:space="preserve">Ileal-Lymphoid-Nodular Hyperplasia, </w:t>
      </w:r>
      <w:proofErr w:type="spellStart"/>
      <w:r w:rsidRPr="0057458B">
        <w:rPr>
          <w:i/>
          <w:iCs/>
        </w:rPr>
        <w:t>NonSpecific</w:t>
      </w:r>
      <w:proofErr w:type="spellEnd"/>
      <w:r w:rsidRPr="0057458B">
        <w:rPr>
          <w:i/>
          <w:iCs/>
        </w:rPr>
        <w:t xml:space="preserve"> Colitis, and Pervasive Developmental Disorder in Children</w:t>
      </w:r>
      <w:r>
        <w:t xml:space="preserve">, 351 </w:t>
      </w:r>
      <w:r>
        <w:rPr>
          <w:smallCaps/>
        </w:rPr>
        <w:t xml:space="preserve">Lancet </w:t>
      </w:r>
      <w:r w:rsidRPr="0057458B">
        <w:t>637, 637-41 (1998)</w:t>
      </w:r>
      <w:r>
        <w:t>.</w:t>
      </w:r>
    </w:p>
  </w:footnote>
  <w:footnote w:id="77">
    <w:p w14:paraId="3CCBC4D0" w14:textId="3ECFEE76" w:rsidR="00BF48DB" w:rsidRDefault="00BF48DB">
      <w:pPr>
        <w:pStyle w:val="FootnoteText"/>
      </w:pPr>
      <w:r>
        <w:rPr>
          <w:rStyle w:val="FootnoteReference"/>
        </w:rPr>
        <w:footnoteRef/>
      </w:r>
      <w:r>
        <w:t xml:space="preserve"> </w:t>
      </w:r>
      <w:r w:rsidRPr="007709A2">
        <w:t>Sandra J. Bean</w:t>
      </w:r>
      <w:r w:rsidRPr="007709A2">
        <w:rPr>
          <w:i/>
        </w:rPr>
        <w:t>, </w:t>
      </w:r>
      <w:r w:rsidRPr="007709A2">
        <w:rPr>
          <w:i/>
          <w:iCs/>
        </w:rPr>
        <w:t>Emerging and Continuing Trends in Vaccine Opposition Website Content</w:t>
      </w:r>
      <w:r w:rsidRPr="007709A2">
        <w:rPr>
          <w:i/>
        </w:rPr>
        <w:t xml:space="preserve">, </w:t>
      </w:r>
      <w:r>
        <w:t xml:space="preserve">29 </w:t>
      </w:r>
      <w:r>
        <w:rPr>
          <w:smallCaps/>
        </w:rPr>
        <w:t>Vaccine</w:t>
      </w:r>
      <w:r w:rsidRPr="007709A2">
        <w:t> 1874, 1877 (2011)</w:t>
      </w:r>
      <w:r>
        <w:t>.</w:t>
      </w:r>
    </w:p>
  </w:footnote>
  <w:footnote w:id="78">
    <w:p w14:paraId="376506DB" w14:textId="627C2FE0" w:rsidR="00BF48DB" w:rsidRDefault="00BF48DB">
      <w:pPr>
        <w:pStyle w:val="FootnoteText"/>
      </w:pPr>
      <w:r>
        <w:rPr>
          <w:rStyle w:val="FootnoteReference"/>
        </w:rPr>
        <w:footnoteRef/>
      </w:r>
      <w:r>
        <w:t xml:space="preserve"> </w:t>
      </w:r>
      <w:r w:rsidRPr="00CC3873">
        <w:t>Gabriel Rangel, </w:t>
      </w:r>
      <w:r w:rsidRPr="00CC3873">
        <w:rPr>
          <w:i/>
          <w:iCs/>
        </w:rPr>
        <w:t>From Corgis to Corn: A Brief Look at the Long </w:t>
      </w:r>
      <w:r w:rsidRPr="00CC3873">
        <w:rPr>
          <w:bCs/>
          <w:i/>
          <w:iCs/>
        </w:rPr>
        <w:t>History</w:t>
      </w:r>
      <w:r w:rsidRPr="00CC3873">
        <w:rPr>
          <w:i/>
          <w:iCs/>
        </w:rPr>
        <w:t> of </w:t>
      </w:r>
      <w:r w:rsidRPr="00CC3873">
        <w:rPr>
          <w:bCs/>
          <w:i/>
          <w:iCs/>
        </w:rPr>
        <w:t>GMO</w:t>
      </w:r>
      <w:r w:rsidRPr="00CC3873">
        <w:rPr>
          <w:i/>
          <w:iCs/>
        </w:rPr>
        <w:t> Technology</w:t>
      </w:r>
      <w:r w:rsidRPr="00CC3873">
        <w:t>, </w:t>
      </w:r>
      <w:proofErr w:type="spellStart"/>
      <w:r w:rsidRPr="009751AE">
        <w:rPr>
          <w:smallCaps/>
        </w:rPr>
        <w:t>Harv</w:t>
      </w:r>
      <w:proofErr w:type="spellEnd"/>
      <w:r w:rsidRPr="009751AE">
        <w:rPr>
          <w:smallCaps/>
        </w:rPr>
        <w:t>. U. Graduate Sch. Arts &amp; Sci.</w:t>
      </w:r>
      <w:r w:rsidRPr="00CC3873">
        <w:t xml:space="preserve"> (Aug. 9, 2015), </w:t>
      </w:r>
      <w:r w:rsidRPr="002C0EF1">
        <w:t>https://perma.cc/7M5Q-DDN9</w:t>
      </w:r>
      <w:r>
        <w:t xml:space="preserve">; Robyn Mallon, </w:t>
      </w:r>
      <w:r>
        <w:rPr>
          <w:i/>
        </w:rPr>
        <w:t>The Deplorable Standard of Living Faced by Farmed Animals in America’s Meat Industry and How to Improve Conditions by Eliminating the Corporate Farm</w:t>
      </w:r>
      <w:r>
        <w:t xml:space="preserve">, </w:t>
      </w:r>
      <w:r w:rsidRPr="003C5B02">
        <w:t xml:space="preserve">9 </w:t>
      </w:r>
      <w:r w:rsidRPr="003C5B02">
        <w:rPr>
          <w:smallCaps/>
        </w:rPr>
        <w:t>Mich. St. U. J. Med. &amp; L.</w:t>
      </w:r>
      <w:r w:rsidRPr="003C5B02">
        <w:t xml:space="preserve"> 389</w:t>
      </w:r>
      <w:r>
        <w:t>, 393-95 (2005).</w:t>
      </w:r>
    </w:p>
  </w:footnote>
  <w:footnote w:id="79">
    <w:p w14:paraId="1AD9DB6D" w14:textId="2B238F36" w:rsidR="00BF48DB" w:rsidRPr="009729A5" w:rsidRDefault="00BF48DB">
      <w:pPr>
        <w:pStyle w:val="FootnoteText"/>
      </w:pPr>
      <w:r>
        <w:rPr>
          <w:rStyle w:val="FootnoteReference"/>
        </w:rPr>
        <w:footnoteRef/>
      </w:r>
      <w:r>
        <w:t xml:space="preserve"> Rangel, </w:t>
      </w:r>
      <w:r>
        <w:rPr>
          <w:i/>
        </w:rPr>
        <w:t>supra</w:t>
      </w:r>
      <w:r>
        <w:t xml:space="preserve"> note </w:t>
      </w:r>
      <w:r>
        <w:fldChar w:fldCharType="begin"/>
      </w:r>
      <w:r>
        <w:instrText xml:space="preserve"> NOTEREF _Ref535242227 \h </w:instrText>
      </w:r>
      <w:r>
        <w:fldChar w:fldCharType="separate"/>
      </w:r>
      <w:r>
        <w:t>77</w:t>
      </w:r>
      <w:r>
        <w:fldChar w:fldCharType="end"/>
      </w:r>
      <w:r>
        <w:t>.</w:t>
      </w:r>
    </w:p>
  </w:footnote>
  <w:footnote w:id="80">
    <w:p w14:paraId="10930D6D" w14:textId="0E39CB0F" w:rsidR="00BF48DB" w:rsidRDefault="00BF48DB">
      <w:pPr>
        <w:pStyle w:val="FootnoteText"/>
      </w:pPr>
      <w:r>
        <w:rPr>
          <w:rStyle w:val="FootnoteReference"/>
        </w:rPr>
        <w:footnoteRef/>
      </w:r>
      <w:r>
        <w:t xml:space="preserve"> Paul B. Thompson, </w:t>
      </w:r>
      <w:r w:rsidRPr="005A2F3E">
        <w:rPr>
          <w:i/>
        </w:rPr>
        <w:t>How We Got to Now: Why the US and Europe Went Different Ways on GMOs</w:t>
      </w:r>
      <w:r>
        <w:t xml:space="preserve">, </w:t>
      </w:r>
      <w:r>
        <w:rPr>
          <w:smallCaps/>
        </w:rPr>
        <w:t>Conversation</w:t>
      </w:r>
      <w:r>
        <w:t xml:space="preserve"> (Nov. 5, 2015), </w:t>
      </w:r>
      <w:r w:rsidRPr="00153AD1">
        <w:t>https://theconversation.com/how-we-got-to-now-why-the-us-and-europe-went-different-ways-on-gmos-48709</w:t>
      </w:r>
      <w:r>
        <w:t>.</w:t>
      </w:r>
    </w:p>
  </w:footnote>
  <w:footnote w:id="81">
    <w:p w14:paraId="61416A59" w14:textId="422AE526" w:rsidR="00BF48DB" w:rsidRDefault="00BF48DB">
      <w:pPr>
        <w:pStyle w:val="FootnoteText"/>
      </w:pPr>
      <w:r>
        <w:rPr>
          <w:rStyle w:val="FootnoteReference"/>
        </w:rPr>
        <w:footnoteRef/>
      </w:r>
      <w:r>
        <w:t xml:space="preserve"> </w:t>
      </w:r>
      <w:r w:rsidRPr="005D1B56">
        <w:rPr>
          <w:rFonts w:cs="Times New Roman (Body CS)"/>
          <w:smallCaps/>
        </w:rPr>
        <w:t xml:space="preserve">Rebecca </w:t>
      </w:r>
      <w:proofErr w:type="spellStart"/>
      <w:r w:rsidRPr="005D1B56">
        <w:rPr>
          <w:rFonts w:cs="Times New Roman (Body CS)"/>
          <w:smallCaps/>
        </w:rPr>
        <w:t>Goldburg</w:t>
      </w:r>
      <w:proofErr w:type="spellEnd"/>
      <w:r w:rsidRPr="005D1B56">
        <w:rPr>
          <w:rFonts w:cs="Times New Roman (Body CS)"/>
          <w:smallCaps/>
        </w:rPr>
        <w:t xml:space="preserve"> et al., Tides Found</w:t>
      </w:r>
      <w:r>
        <w:t xml:space="preserve">., </w:t>
      </w:r>
      <w:r w:rsidRPr="005D1B56">
        <w:rPr>
          <w:rFonts w:cs="Times New Roman (Body CS)"/>
          <w:smallCaps/>
        </w:rPr>
        <w:t xml:space="preserve">Biotechnology’s Bitter Harvest: Herbicide-Tolerant Crops and the Threat to Sustainable Agriculture </w:t>
      </w:r>
      <w:r>
        <w:t xml:space="preserve">6 (1990), </w:t>
      </w:r>
      <w:r w:rsidRPr="00D01616">
        <w:t>http://blog.ucsusa.org/wp-content/uploads/2012/05/Biotechnologys-Bitter-Harvest.pdf</w:t>
      </w:r>
      <w:r>
        <w:t xml:space="preserve"> (concluding in part that “herbicide-tolerant crops represent a major misstep on the road toward an environmentally sound system of agriculture. . .”).</w:t>
      </w:r>
    </w:p>
  </w:footnote>
  <w:footnote w:id="82">
    <w:p w14:paraId="0A14F4B0" w14:textId="22E2D654" w:rsidR="00BF48DB" w:rsidRDefault="00BF48DB">
      <w:pPr>
        <w:pStyle w:val="FootnoteText"/>
      </w:pPr>
      <w:r>
        <w:rPr>
          <w:rStyle w:val="FootnoteReference"/>
        </w:rPr>
        <w:footnoteRef/>
      </w:r>
      <w:r>
        <w:t xml:space="preserve"> </w:t>
      </w:r>
      <w:proofErr w:type="spellStart"/>
      <w:r w:rsidRPr="002C0EF1">
        <w:t>Stefaan</w:t>
      </w:r>
      <w:proofErr w:type="spellEnd"/>
      <w:r w:rsidRPr="002C0EF1">
        <w:t xml:space="preserve"> </w:t>
      </w:r>
      <w:proofErr w:type="spellStart"/>
      <w:r w:rsidRPr="002C0EF1">
        <w:t>Blancke</w:t>
      </w:r>
      <w:proofErr w:type="spellEnd"/>
      <w:r w:rsidRPr="002C0EF1">
        <w:t>, </w:t>
      </w:r>
      <w:r w:rsidRPr="002C0EF1">
        <w:rPr>
          <w:i/>
          <w:iCs/>
        </w:rPr>
        <w:t>Why People Oppose </w:t>
      </w:r>
      <w:r w:rsidRPr="002C0EF1">
        <w:rPr>
          <w:bCs/>
          <w:i/>
          <w:iCs/>
        </w:rPr>
        <w:t>GMOs</w:t>
      </w:r>
      <w:r w:rsidRPr="002C0EF1">
        <w:rPr>
          <w:i/>
          <w:iCs/>
        </w:rPr>
        <w:t> Even Though Science Says They Are Safe</w:t>
      </w:r>
      <w:r w:rsidRPr="002C0EF1">
        <w:t>, S</w:t>
      </w:r>
      <w:r>
        <w:rPr>
          <w:smallCaps/>
        </w:rPr>
        <w:t>ci</w:t>
      </w:r>
      <w:r w:rsidRPr="002C0EF1">
        <w:t>. A</w:t>
      </w:r>
      <w:r>
        <w:rPr>
          <w:smallCaps/>
        </w:rPr>
        <w:t>m</w:t>
      </w:r>
      <w:r w:rsidRPr="002C0EF1">
        <w:t>. (Aug. 18,</w:t>
      </w:r>
      <w:r>
        <w:t xml:space="preserve"> </w:t>
      </w:r>
      <w:r w:rsidRPr="002C0EF1">
        <w:t>2015), http://www.scientificamerican.com/article/why-people</w:t>
      </w:r>
      <w:r>
        <w:t>-</w:t>
      </w:r>
      <w:r w:rsidRPr="002C0EF1">
        <w:t>oppose-</w:t>
      </w:r>
      <w:r w:rsidRPr="002C0EF1">
        <w:rPr>
          <w:bCs/>
        </w:rPr>
        <w:t>gmos</w:t>
      </w:r>
      <w:r w:rsidRPr="002C0EF1">
        <w:t>-even-though-science-says-they-are-safe/</w:t>
      </w:r>
      <w:r>
        <w:t>.</w:t>
      </w:r>
    </w:p>
  </w:footnote>
  <w:footnote w:id="83">
    <w:p w14:paraId="3AE3065A" w14:textId="0A17A304" w:rsidR="00BF48DB" w:rsidRPr="002C0EF1" w:rsidRDefault="00BF48DB">
      <w:pPr>
        <w:pStyle w:val="FootnoteText"/>
      </w:pPr>
      <w:r>
        <w:rPr>
          <w:rStyle w:val="FootnoteReference"/>
        </w:rPr>
        <w:footnoteRef/>
      </w:r>
      <w:r>
        <w:t xml:space="preserve"> </w:t>
      </w:r>
      <w:r>
        <w:rPr>
          <w:i/>
        </w:rPr>
        <w:t>Id.</w:t>
      </w:r>
    </w:p>
  </w:footnote>
  <w:footnote w:id="84">
    <w:p w14:paraId="2AE1C556" w14:textId="47478076" w:rsidR="00BF48DB" w:rsidRPr="004C51BA" w:rsidRDefault="00BF48DB">
      <w:pPr>
        <w:pStyle w:val="FootnoteText"/>
      </w:pPr>
      <w:r>
        <w:rPr>
          <w:rStyle w:val="FootnoteReference"/>
        </w:rPr>
        <w:footnoteRef/>
      </w:r>
      <w:r>
        <w:t xml:space="preserve"> </w:t>
      </w:r>
      <w:r>
        <w:rPr>
          <w:i/>
        </w:rPr>
        <w:t>See</w:t>
      </w:r>
      <w:r>
        <w:t xml:space="preserve"> Andrew R. </w:t>
      </w:r>
      <w:proofErr w:type="spellStart"/>
      <w:r>
        <w:t>Varcoe</w:t>
      </w:r>
      <w:proofErr w:type="spellEnd"/>
      <w:r>
        <w:t xml:space="preserve">, </w:t>
      </w:r>
      <w:r>
        <w:rPr>
          <w:i/>
        </w:rPr>
        <w:t xml:space="preserve">From GMO Regulation to GMO Disclosure Regulation: What’s Ahead for Disputes over Genetically Engineered </w:t>
      </w:r>
      <w:proofErr w:type="gramStart"/>
      <w:r>
        <w:rPr>
          <w:i/>
        </w:rPr>
        <w:t>Crops?</w:t>
      </w:r>
      <w:r>
        <w:t>,</w:t>
      </w:r>
      <w:proofErr w:type="gramEnd"/>
      <w:r>
        <w:t xml:space="preserve"> 33 </w:t>
      </w:r>
      <w:r w:rsidRPr="00EA6FC6">
        <w:rPr>
          <w:smallCaps/>
        </w:rPr>
        <w:t>Nat. Resources &amp; Env’t</w:t>
      </w:r>
      <w:r>
        <w:rPr>
          <w:smallCaps/>
        </w:rPr>
        <w:t xml:space="preserve"> 26</w:t>
      </w:r>
      <w:r>
        <w:t xml:space="preserve"> (2018).</w:t>
      </w:r>
    </w:p>
  </w:footnote>
  <w:footnote w:id="85">
    <w:p w14:paraId="428A5220" w14:textId="02A5B335" w:rsidR="00BF48DB" w:rsidRPr="009B011B" w:rsidRDefault="00BF48DB" w:rsidP="00D97C93">
      <w:pPr>
        <w:pStyle w:val="FootnoteText"/>
      </w:pPr>
      <w:r>
        <w:rPr>
          <w:rStyle w:val="FootnoteReference"/>
        </w:rPr>
        <w:footnoteRef/>
      </w:r>
      <w:r>
        <w:t xml:space="preserve"> In addition to the efforts of helpful Korean-speaking colleague, I relied on Google Translate for reviewing Brunch sources. For analysis of the accuracy of Google Translate, see, for example Karen Turner, </w:t>
      </w:r>
      <w:r>
        <w:rPr>
          <w:i/>
        </w:rPr>
        <w:t>Google Translate is Getting Much More Accurate</w:t>
      </w:r>
      <w:r>
        <w:t xml:space="preserve">, </w:t>
      </w:r>
      <w:r>
        <w:rPr>
          <w:smallCaps/>
        </w:rPr>
        <w:t>Bos. Globe</w:t>
      </w:r>
      <w:r>
        <w:t xml:space="preserve">, Oct. 3, 2016, </w:t>
      </w:r>
      <w:r w:rsidRPr="00A82007">
        <w:t>https://www.bostonglobe.com/business/2016/10/03/google-translate-getting-really-really-accurate/L1FuGTeV3JocnsWVTVTdaP/story.html</w:t>
      </w:r>
      <w:r>
        <w:t xml:space="preserve">. Google translate is of course not perfect. Douglas </w:t>
      </w:r>
      <w:proofErr w:type="spellStart"/>
      <w:r>
        <w:t>Hafstader</w:t>
      </w:r>
      <w:proofErr w:type="spellEnd"/>
      <w:r>
        <w:t xml:space="preserve">, </w:t>
      </w:r>
      <w:r>
        <w:rPr>
          <w:i/>
        </w:rPr>
        <w:t>The Shallowness of Google Translate</w:t>
      </w:r>
      <w:r>
        <w:t xml:space="preserve">, </w:t>
      </w:r>
      <w:r>
        <w:rPr>
          <w:smallCaps/>
        </w:rPr>
        <w:t>Atlantic</w:t>
      </w:r>
      <w:r>
        <w:t xml:space="preserve">, Jan. 30, 2018, </w:t>
      </w:r>
      <w:r w:rsidRPr="00EE7209">
        <w:t>https://www.theatlantic.com/technology/archive/2018/01/the-shallowness-of-google-translate/551570/</w:t>
      </w:r>
      <w:r>
        <w:t>. While the meaning may generally be accurate, some interpretive leeway should be given to direct English quotations of these sources.</w:t>
      </w:r>
    </w:p>
  </w:footnote>
  <w:footnote w:id="86">
    <w:p w14:paraId="4F7D602E" w14:textId="77777777" w:rsidR="00BF48DB" w:rsidRDefault="00BF48DB" w:rsidP="00D97C93">
      <w:pPr>
        <w:pStyle w:val="FootnoteText"/>
      </w:pPr>
      <w:r>
        <w:rPr>
          <w:rStyle w:val="FootnoteReference"/>
        </w:rPr>
        <w:footnoteRef/>
      </w:r>
      <w:r>
        <w:t xml:space="preserve"> </w:t>
      </w:r>
      <w:r w:rsidRPr="007F3993">
        <w:rPr>
          <w:smallCaps/>
        </w:rPr>
        <w:t>Brunch</w:t>
      </w:r>
      <w:r>
        <w:t xml:space="preserve">, </w:t>
      </w:r>
      <w:r w:rsidRPr="0002473E">
        <w:t>https://brunch.co.kr/</w:t>
      </w:r>
      <w:r>
        <w:t>.</w:t>
      </w:r>
    </w:p>
  </w:footnote>
  <w:footnote w:id="87">
    <w:p w14:paraId="17DF944A" w14:textId="29D8A7E9" w:rsidR="00BF48DB" w:rsidRPr="00462B03" w:rsidRDefault="00BF48DB" w:rsidP="009D4E82">
      <w:pPr>
        <w:pStyle w:val="FootnoteText"/>
      </w:pPr>
      <w:r>
        <w:rPr>
          <w:rStyle w:val="FootnoteReference"/>
        </w:rPr>
        <w:footnoteRef/>
      </w:r>
      <w:r>
        <w:t xml:space="preserve"> Park </w:t>
      </w:r>
      <w:proofErr w:type="spellStart"/>
      <w:r>
        <w:t>Eun-Jee</w:t>
      </w:r>
      <w:proofErr w:type="spellEnd"/>
      <w:r>
        <w:t xml:space="preserve">, </w:t>
      </w:r>
      <w:proofErr w:type="spellStart"/>
      <w:r w:rsidRPr="000F4749">
        <w:rPr>
          <w:i/>
        </w:rPr>
        <w:t>Daum</w:t>
      </w:r>
      <w:proofErr w:type="spellEnd"/>
      <w:r w:rsidRPr="000F4749">
        <w:rPr>
          <w:i/>
        </w:rPr>
        <w:t xml:space="preserve"> </w:t>
      </w:r>
      <w:proofErr w:type="spellStart"/>
      <w:r w:rsidRPr="000F4749">
        <w:rPr>
          <w:i/>
        </w:rPr>
        <w:t>Kakao</w:t>
      </w:r>
      <w:proofErr w:type="spellEnd"/>
      <w:r w:rsidRPr="000F4749">
        <w:rPr>
          <w:i/>
        </w:rPr>
        <w:t xml:space="preserve"> Launches Brunch for All Writers</w:t>
      </w:r>
      <w:r>
        <w:t xml:space="preserve">, </w:t>
      </w:r>
      <w:r>
        <w:rPr>
          <w:smallCaps/>
        </w:rPr>
        <w:t>Kor. JoongAng Daily</w:t>
      </w:r>
      <w:r>
        <w:t xml:space="preserve"> (June 23, 2015), </w:t>
      </w:r>
      <w:r w:rsidRPr="002917A4">
        <w:t>http://koreajoongangdaily.joins.com/news/article/article.aspx?aid=3005724</w:t>
      </w:r>
      <w:r>
        <w:t>.</w:t>
      </w:r>
    </w:p>
  </w:footnote>
  <w:footnote w:id="88">
    <w:p w14:paraId="77488A9C" w14:textId="285CA1DF" w:rsidR="00BF48DB" w:rsidRPr="00E72607" w:rsidRDefault="00BF48DB" w:rsidP="00AC0E18">
      <w:pPr>
        <w:pStyle w:val="FootnoteText"/>
      </w:pPr>
      <w:r>
        <w:rPr>
          <w:rStyle w:val="FootnoteReference"/>
        </w:rPr>
        <w:footnoteRef/>
      </w:r>
      <w:r>
        <w:t xml:space="preserve"> Although the website frames the article as part of an apparent online magazine, I use the word ‘blog’ as it more effectively describes the characteristics and context of the article. </w:t>
      </w:r>
      <w:r>
        <w:rPr>
          <w:i/>
        </w:rPr>
        <w:t xml:space="preserve">See </w:t>
      </w:r>
      <w:r>
        <w:t xml:space="preserve">Emma Scanlan, </w:t>
      </w:r>
      <w:r>
        <w:rPr>
          <w:i/>
        </w:rPr>
        <w:t>Bigger Fish, Deeper Pockets: Business Blogs, Defamation and the Communications Decency Act</w:t>
      </w:r>
      <w:r>
        <w:t xml:space="preserve">, </w:t>
      </w:r>
      <w:r w:rsidRPr="00E72607">
        <w:t xml:space="preserve">2 </w:t>
      </w:r>
      <w:r w:rsidRPr="00226CC0">
        <w:rPr>
          <w:smallCaps/>
        </w:rPr>
        <w:t>Shidler J. L. Com. &amp; Tech.</w:t>
      </w:r>
      <w:r w:rsidRPr="00E72607">
        <w:t xml:space="preserve"> 4</w:t>
      </w:r>
      <w:r>
        <w:t>, 4 (2005) (summarizing common characteristics of blogs).</w:t>
      </w:r>
    </w:p>
  </w:footnote>
  <w:footnote w:id="89">
    <w:p w14:paraId="34FA7790" w14:textId="77777777" w:rsidR="00BF48DB" w:rsidRDefault="00BF48DB" w:rsidP="009D4E82">
      <w:pPr>
        <w:pStyle w:val="FootnoteText"/>
      </w:pPr>
      <w:r>
        <w:rPr>
          <w:rStyle w:val="FootnoteReference"/>
        </w:rPr>
        <w:footnoteRef/>
      </w:r>
      <w:r>
        <w:t xml:space="preserve"> Scott Lee, </w:t>
      </w:r>
      <w:r w:rsidRPr="007F3993">
        <w:rPr>
          <w:i/>
        </w:rPr>
        <w:t>GMO: Genetically Modified Food Causes Autism</w:t>
      </w:r>
      <w:r>
        <w:t xml:space="preserve">, </w:t>
      </w:r>
      <w:r>
        <w:rPr>
          <w:smallCaps/>
        </w:rPr>
        <w:t>Brunch</w:t>
      </w:r>
      <w:r>
        <w:t xml:space="preserve"> (Mar. 2, 2016), </w:t>
      </w:r>
      <w:r w:rsidRPr="00FD0149">
        <w:t>https://brunch.co.kr/@imit/46</w:t>
      </w:r>
      <w:r>
        <w:t xml:space="preserve">. </w:t>
      </w:r>
    </w:p>
  </w:footnote>
  <w:footnote w:id="90">
    <w:p w14:paraId="07C99094" w14:textId="77AE5D33" w:rsidR="00BF48DB" w:rsidRDefault="00BF48DB" w:rsidP="009D4E82">
      <w:pPr>
        <w:pStyle w:val="FootnoteText"/>
      </w:pPr>
      <w:r>
        <w:rPr>
          <w:rStyle w:val="FootnoteReference"/>
        </w:rPr>
        <w:footnoteRef/>
      </w:r>
      <w:r>
        <w:t xml:space="preserve"> </w:t>
      </w:r>
      <w:r w:rsidRPr="005D1B56">
        <w:t>Scott Lee</w:t>
      </w:r>
      <w:r w:rsidRPr="00226CC0">
        <w:t xml:space="preserve">, </w:t>
      </w:r>
      <w:r w:rsidRPr="005D1B56">
        <w:rPr>
          <w:rFonts w:cs="Times New Roman (Body CS)"/>
          <w:smallCaps/>
        </w:rPr>
        <w:t>Brunch</w:t>
      </w:r>
      <w:r w:rsidRPr="00226CC0">
        <w:t xml:space="preserve">, </w:t>
      </w:r>
      <w:r w:rsidRPr="00434EDC">
        <w:t>https://brunch.co.kr/@imit</w:t>
      </w:r>
    </w:p>
  </w:footnote>
  <w:footnote w:id="91">
    <w:p w14:paraId="5ABC3942" w14:textId="773A7046" w:rsidR="00BF48DB" w:rsidRPr="00324A87" w:rsidRDefault="00BF48DB" w:rsidP="009D4E82">
      <w:pPr>
        <w:pStyle w:val="FootnoteText"/>
      </w:pPr>
      <w:r>
        <w:rPr>
          <w:rStyle w:val="FootnoteReference"/>
        </w:rPr>
        <w:footnoteRef/>
      </w:r>
      <w:r>
        <w:t xml:space="preserve"> Lee, </w:t>
      </w:r>
      <w:r>
        <w:rPr>
          <w:i/>
        </w:rPr>
        <w:t xml:space="preserve">supra </w:t>
      </w:r>
      <w:r>
        <w:t xml:space="preserve">note </w:t>
      </w:r>
      <w:r>
        <w:fldChar w:fldCharType="begin"/>
      </w:r>
      <w:r>
        <w:instrText xml:space="preserve"> NOTEREF _Ref535242397 \h </w:instrText>
      </w:r>
      <w:r>
        <w:fldChar w:fldCharType="separate"/>
      </w:r>
      <w:r>
        <w:t>88</w:t>
      </w:r>
      <w:r>
        <w:fldChar w:fldCharType="end"/>
      </w:r>
      <w:r>
        <w:t xml:space="preserve">. </w:t>
      </w:r>
      <w:r>
        <w:rPr>
          <w:i/>
        </w:rPr>
        <w:t>See also</w:t>
      </w:r>
      <w:r>
        <w:t xml:space="preserve"> </w:t>
      </w:r>
      <w:r w:rsidRPr="00461B93">
        <w:t>Deborah L. Christensen</w:t>
      </w:r>
      <w:r>
        <w:t xml:space="preserve"> et al., </w:t>
      </w:r>
      <w:r w:rsidRPr="00461B93">
        <w:rPr>
          <w:i/>
        </w:rPr>
        <w:t>Prevalence and Characteristics of Autism Spectrum Disorder Among Children Aged 8 Years — Autism and Developmental Disabilities Monitoring Network, 11 Sites, United States, 2012</w:t>
      </w:r>
      <w:r>
        <w:t xml:space="preserve">, 65 </w:t>
      </w:r>
      <w:r>
        <w:rPr>
          <w:smallCaps/>
        </w:rPr>
        <w:t>Surveillance Summaries 1 (2016),</w:t>
      </w:r>
      <w:r>
        <w:t xml:space="preserve"> </w:t>
      </w:r>
      <w:r w:rsidRPr="009E6644">
        <w:t>https://www.cdc.gov/mmwr/volumes/65/ss/ss6503a1.htm</w:t>
      </w:r>
      <w:r>
        <w:t xml:space="preserve">; </w:t>
      </w:r>
      <w:r w:rsidRPr="007F3993">
        <w:rPr>
          <w:smallCaps/>
        </w:rPr>
        <w:t>CDC, Autism Spectrum Disorder (ASD): Data &amp; Statistics</w:t>
      </w:r>
      <w:r>
        <w:t xml:space="preserve"> (Feb. 12, 2018), </w:t>
      </w:r>
      <w:r w:rsidRPr="00324A87">
        <w:t>https://www.cdc.gov/ncbddd/autism/data.html</w:t>
      </w:r>
      <w:r>
        <w:t>.</w:t>
      </w:r>
    </w:p>
  </w:footnote>
  <w:footnote w:id="92">
    <w:p w14:paraId="01ED7B5D" w14:textId="17F22C49" w:rsidR="00BF48DB" w:rsidRPr="00CB7EF9" w:rsidRDefault="00BF48DB" w:rsidP="009D4E82">
      <w:pPr>
        <w:pStyle w:val="FootnoteText"/>
      </w:pPr>
      <w:r>
        <w:rPr>
          <w:rStyle w:val="FootnoteReference"/>
        </w:rPr>
        <w:footnoteRef/>
      </w:r>
      <w:r>
        <w:t xml:space="preserve"> Lee, </w:t>
      </w:r>
      <w:r>
        <w:rPr>
          <w:i/>
        </w:rPr>
        <w:t>supra</w:t>
      </w:r>
      <w:r>
        <w:t xml:space="preserve"> note </w:t>
      </w:r>
      <w:r>
        <w:fldChar w:fldCharType="begin"/>
      </w:r>
      <w:r>
        <w:instrText xml:space="preserve"> NOTEREF _Ref535242397 \h </w:instrText>
      </w:r>
      <w:r>
        <w:fldChar w:fldCharType="separate"/>
      </w:r>
      <w:r>
        <w:t>88</w:t>
      </w:r>
      <w:r>
        <w:fldChar w:fldCharType="end"/>
      </w:r>
      <w:r>
        <w:t>.</w:t>
      </w:r>
    </w:p>
  </w:footnote>
  <w:footnote w:id="93">
    <w:p w14:paraId="0EA23EDC" w14:textId="77777777" w:rsidR="00BF48DB" w:rsidRPr="00875799" w:rsidRDefault="00BF48DB" w:rsidP="009D4E82">
      <w:pPr>
        <w:pStyle w:val="FootnoteText"/>
      </w:pPr>
      <w:r>
        <w:rPr>
          <w:rStyle w:val="FootnoteReference"/>
        </w:rPr>
        <w:footnoteRef/>
      </w:r>
      <w:r>
        <w:t xml:space="preserve"> </w:t>
      </w:r>
      <w:r>
        <w:rPr>
          <w:i/>
        </w:rPr>
        <w:t>Id.</w:t>
      </w:r>
    </w:p>
  </w:footnote>
  <w:footnote w:id="94">
    <w:p w14:paraId="01522783" w14:textId="77777777" w:rsidR="00BF48DB" w:rsidRPr="007E65EA" w:rsidRDefault="00BF48DB" w:rsidP="009D4E82">
      <w:pPr>
        <w:pStyle w:val="FootnoteText"/>
      </w:pPr>
      <w:r>
        <w:rPr>
          <w:rStyle w:val="FootnoteReference"/>
        </w:rPr>
        <w:footnoteRef/>
      </w:r>
      <w:r>
        <w:t xml:space="preserve"> </w:t>
      </w:r>
      <w:r>
        <w:rPr>
          <w:i/>
        </w:rPr>
        <w:t>Id.</w:t>
      </w:r>
    </w:p>
  </w:footnote>
  <w:footnote w:id="95">
    <w:p w14:paraId="47C28FCD" w14:textId="77777777" w:rsidR="00BF48DB" w:rsidRPr="007E65EA" w:rsidRDefault="00BF48DB" w:rsidP="009D4E82">
      <w:pPr>
        <w:pStyle w:val="FootnoteText"/>
      </w:pPr>
      <w:r>
        <w:rPr>
          <w:rStyle w:val="FootnoteReference"/>
        </w:rPr>
        <w:footnoteRef/>
      </w:r>
      <w:r>
        <w:t xml:space="preserve"> </w:t>
      </w:r>
      <w:r>
        <w:rPr>
          <w:i/>
        </w:rPr>
        <w:t>Id.</w:t>
      </w:r>
    </w:p>
  </w:footnote>
  <w:footnote w:id="96">
    <w:p w14:paraId="0E1382B2" w14:textId="77777777" w:rsidR="00BF48DB" w:rsidRPr="00C95FFD" w:rsidRDefault="00BF48DB" w:rsidP="009D4E82">
      <w:pPr>
        <w:pStyle w:val="FootnoteText"/>
      </w:pPr>
      <w:r>
        <w:rPr>
          <w:rStyle w:val="FootnoteReference"/>
        </w:rPr>
        <w:footnoteRef/>
      </w:r>
      <w:r>
        <w:t xml:space="preserve"> </w:t>
      </w:r>
      <w:r>
        <w:rPr>
          <w:i/>
        </w:rPr>
        <w:t>Id.</w:t>
      </w:r>
    </w:p>
  </w:footnote>
  <w:footnote w:id="97">
    <w:p w14:paraId="1D898FBA" w14:textId="77777777" w:rsidR="00BF48DB" w:rsidRPr="00EE2563" w:rsidRDefault="00BF48DB" w:rsidP="009D4E82">
      <w:pPr>
        <w:pStyle w:val="FootnoteText"/>
        <w:rPr>
          <w:i/>
        </w:rPr>
      </w:pPr>
      <w:r>
        <w:rPr>
          <w:rStyle w:val="FootnoteReference"/>
        </w:rPr>
        <w:footnoteRef/>
      </w:r>
      <w:r>
        <w:t xml:space="preserve"> </w:t>
      </w:r>
      <w:r>
        <w:rPr>
          <w:i/>
        </w:rPr>
        <w:t>Id.</w:t>
      </w:r>
    </w:p>
  </w:footnote>
  <w:footnote w:id="98">
    <w:p w14:paraId="415B9ABA" w14:textId="77777777" w:rsidR="00BF48DB" w:rsidRPr="00C95FFD" w:rsidRDefault="00BF48DB" w:rsidP="009D4E82">
      <w:pPr>
        <w:pStyle w:val="FootnoteText"/>
      </w:pPr>
      <w:r>
        <w:rPr>
          <w:rStyle w:val="FootnoteReference"/>
        </w:rPr>
        <w:footnoteRef/>
      </w:r>
      <w:r>
        <w:t xml:space="preserve"> </w:t>
      </w:r>
      <w:r>
        <w:rPr>
          <w:i/>
        </w:rPr>
        <w:t>Id.</w:t>
      </w:r>
    </w:p>
  </w:footnote>
  <w:footnote w:id="99">
    <w:p w14:paraId="724BA856" w14:textId="4099B3ED" w:rsidR="00BF48DB" w:rsidRDefault="00BF48DB" w:rsidP="003B7986">
      <w:pPr>
        <w:pStyle w:val="FootnoteText"/>
      </w:pPr>
      <w:r>
        <w:rPr>
          <w:rStyle w:val="FootnoteReference"/>
        </w:rPr>
        <w:footnoteRef/>
      </w:r>
      <w:r>
        <w:t xml:space="preserve"> This does not necessarily mean that insights by lay people are always unhelpful. </w:t>
      </w:r>
      <w:r>
        <w:rPr>
          <w:i/>
        </w:rPr>
        <w:t xml:space="preserve">See </w:t>
      </w:r>
      <w:r>
        <w:t xml:space="preserve">Trisha </w:t>
      </w:r>
      <w:proofErr w:type="spellStart"/>
      <w:r>
        <w:t>Gura</w:t>
      </w:r>
      <w:proofErr w:type="spellEnd"/>
      <w:r>
        <w:t xml:space="preserve">, </w:t>
      </w:r>
      <w:r>
        <w:rPr>
          <w:i/>
        </w:rPr>
        <w:t>Citizen Science: Amateur Experts</w:t>
      </w:r>
      <w:r>
        <w:t xml:space="preserve">, 496 </w:t>
      </w:r>
      <w:r w:rsidRPr="00226CC0">
        <w:rPr>
          <w:smallCaps/>
        </w:rPr>
        <w:t>Nature</w:t>
      </w:r>
      <w:r>
        <w:t xml:space="preserve"> 259 (2013); Gabrielle Jonas, </w:t>
      </w:r>
      <w:r>
        <w:rPr>
          <w:i/>
        </w:rPr>
        <w:t>Science’s Amateur Hour</w:t>
      </w:r>
      <w:r>
        <w:t xml:space="preserve">, </w:t>
      </w:r>
      <w:r>
        <w:rPr>
          <w:smallCaps/>
        </w:rPr>
        <w:t>Newsweek</w:t>
      </w:r>
      <w:r>
        <w:t xml:space="preserve"> (Apr. 16, 2014), </w:t>
      </w:r>
      <w:r w:rsidRPr="00406A0B">
        <w:t>https://www.newsweek.com/2014/04/25/sciences-amateur-hour-248155.html</w:t>
      </w:r>
      <w:r>
        <w:t xml:space="preserve">. Partnerships between parents of children with autism and scientists, for example, can provide beneficial insights and support. </w:t>
      </w:r>
      <w:r>
        <w:rPr>
          <w:i/>
        </w:rPr>
        <w:t xml:space="preserve">See </w:t>
      </w:r>
      <w:proofErr w:type="spellStart"/>
      <w:r>
        <w:t>Magan</w:t>
      </w:r>
      <w:proofErr w:type="spellEnd"/>
      <w:r>
        <w:t xml:space="preserve"> Trottier et al., </w:t>
      </w:r>
      <w:r w:rsidRPr="00024799">
        <w:rPr>
          <w:i/>
        </w:rPr>
        <w:t>Parents’ Perspectives on Participating in Genetic Research in Autism</w:t>
      </w:r>
      <w:r>
        <w:t xml:space="preserve">, 43 </w:t>
      </w:r>
      <w:r w:rsidRPr="0053045A">
        <w:rPr>
          <w:smallCaps/>
        </w:rPr>
        <w:t>J. Autism &amp; Dev. Disorders</w:t>
      </w:r>
      <w:r>
        <w:t xml:space="preserve"> 556 (2013); Chloe Silverman &amp; Jeffrey P. </w:t>
      </w:r>
      <w:proofErr w:type="spellStart"/>
      <w:r>
        <w:t>Brosco</w:t>
      </w:r>
      <w:proofErr w:type="spellEnd"/>
      <w:r>
        <w:t xml:space="preserve">, </w:t>
      </w:r>
      <w:r>
        <w:rPr>
          <w:i/>
        </w:rPr>
        <w:t>Understanding Autism: Parents and Pediatricians in Historical Perspective</w:t>
      </w:r>
      <w:r>
        <w:t xml:space="preserve">, 161 </w:t>
      </w:r>
      <w:r w:rsidRPr="00226CC0">
        <w:rPr>
          <w:smallCaps/>
        </w:rPr>
        <w:t>Archives</w:t>
      </w:r>
      <w:r w:rsidRPr="00FA412E">
        <w:rPr>
          <w:smallCaps/>
        </w:rPr>
        <w:t xml:space="preserve"> of Pediatrics &amp; Adolescent Med.</w:t>
      </w:r>
      <w:r>
        <w:t xml:space="preserve"> 392, 396 (2007) (concluding that there have been “many instances” where parents have contributed to original research of autism such “</w:t>
      </w:r>
      <w:r w:rsidRPr="00024799">
        <w:t>as acute observers of their children, noting nuances of behavior and treatment response that might be invisible to pediatricians; as researchers, identifying new avenues of clinical and basic science; and as advocates, disseminating knowledge and generating resources for further research.</w:t>
      </w:r>
      <w:r>
        <w:t xml:space="preserve">”). Interdisciplinary research by authors across disciplines and with varying knowledge can also generate important insights. </w:t>
      </w:r>
      <w:r>
        <w:rPr>
          <w:i/>
        </w:rPr>
        <w:t>See, e.g.,</w:t>
      </w:r>
      <w:r>
        <w:t xml:space="preserve"> Dave Owen &amp; Caroline </w:t>
      </w:r>
      <w:proofErr w:type="spellStart"/>
      <w:r>
        <w:t>Noblet</w:t>
      </w:r>
      <w:proofErr w:type="spellEnd"/>
      <w:r>
        <w:t xml:space="preserve">, </w:t>
      </w:r>
      <w:r>
        <w:rPr>
          <w:i/>
        </w:rPr>
        <w:t>Interdisciplinary Research in Environmental Law</w:t>
      </w:r>
      <w:r>
        <w:t xml:space="preserve">, </w:t>
      </w:r>
      <w:r w:rsidRPr="00890CFE">
        <w:t xml:space="preserve">41 </w:t>
      </w:r>
      <w:r w:rsidRPr="00890CFE">
        <w:rPr>
          <w:smallCaps/>
        </w:rPr>
        <w:t>Ecology L.Q.</w:t>
      </w:r>
      <w:r w:rsidRPr="00890CFE">
        <w:t xml:space="preserve"> 887</w:t>
      </w:r>
      <w:r>
        <w:t>, 892-900 (2014) (summarizing benefits and drawbacks of interdisciplinary research).</w:t>
      </w:r>
    </w:p>
  </w:footnote>
  <w:footnote w:id="100">
    <w:p w14:paraId="37DAB1E0" w14:textId="7DAC69DD" w:rsidR="00BF48DB" w:rsidRPr="005B45AE" w:rsidRDefault="00BF48DB" w:rsidP="001C732B">
      <w:pPr>
        <w:pStyle w:val="FootnoteText"/>
      </w:pPr>
      <w:r>
        <w:rPr>
          <w:rStyle w:val="FootnoteReference"/>
        </w:rPr>
        <w:footnoteRef/>
      </w:r>
      <w:r>
        <w:t xml:space="preserve"> The author does appear to be seduced by every autism related theory. For example, another post by the author examined the utility of magnetic fields to treat autism. The author concluded that conflicting results exist and further research is required. Scott Lee, </w:t>
      </w:r>
      <w:r>
        <w:rPr>
          <w:i/>
        </w:rPr>
        <w:t>Magnetic Field to Treat Autism</w:t>
      </w:r>
      <w:r>
        <w:t xml:space="preserve">, </w:t>
      </w:r>
      <w:r>
        <w:rPr>
          <w:smallCaps/>
        </w:rPr>
        <w:t>Brunch</w:t>
      </w:r>
      <w:r>
        <w:t xml:space="preserve"> (Oct. 18, 2016), </w:t>
      </w:r>
      <w:r w:rsidRPr="005B45AE">
        <w:t>https://brunch.co.kr/@imit/89</w:t>
      </w:r>
      <w:r>
        <w:t>.</w:t>
      </w:r>
    </w:p>
  </w:footnote>
  <w:footnote w:id="101">
    <w:p w14:paraId="5BE6A435" w14:textId="3E7FA469" w:rsidR="00BF48DB" w:rsidRPr="00F54514" w:rsidRDefault="00BF48DB" w:rsidP="000823B9">
      <w:pPr>
        <w:pStyle w:val="FootnoteText"/>
      </w:pPr>
      <w:r>
        <w:rPr>
          <w:rStyle w:val="FootnoteReference"/>
        </w:rPr>
        <w:footnoteRef/>
      </w:r>
      <w:r>
        <w:t xml:space="preserve"> </w:t>
      </w:r>
      <w:r>
        <w:rPr>
          <w:i/>
        </w:rPr>
        <w:t xml:space="preserve">See, e.g., </w:t>
      </w:r>
      <w:r>
        <w:t xml:space="preserve">Arvind Suresh, </w:t>
      </w:r>
      <w:r>
        <w:rPr>
          <w:i/>
        </w:rPr>
        <w:t>Autism Increase Mystery Solved? No, it’s not Vaccines, GMOs, Glyphosate—or Organic Foods</w:t>
      </w:r>
      <w:r>
        <w:t xml:space="preserve">, </w:t>
      </w:r>
      <w:r>
        <w:rPr>
          <w:smallCaps/>
        </w:rPr>
        <w:t>Genetic Literacy Project</w:t>
      </w:r>
      <w:r>
        <w:t xml:space="preserve"> (Sept. 22, 2016), </w:t>
      </w:r>
      <w:r w:rsidRPr="00F54514">
        <w:t>https://geneticliteracyproject.org/2016/09/22/autism-increase-mystery-solved-no-its-not-vaccines-gmos-glyphosate-or-organic-foods/</w:t>
      </w:r>
      <w:r>
        <w:t>.</w:t>
      </w:r>
    </w:p>
  </w:footnote>
  <w:footnote w:id="102">
    <w:p w14:paraId="3A366A2F" w14:textId="5C2E28B9" w:rsidR="00BF48DB" w:rsidRDefault="00BF48DB">
      <w:pPr>
        <w:pStyle w:val="FootnoteText"/>
      </w:pPr>
      <w:r>
        <w:rPr>
          <w:rStyle w:val="FootnoteReference"/>
        </w:rPr>
        <w:footnoteRef/>
      </w:r>
      <w:r>
        <w:t xml:space="preserve"> </w:t>
      </w:r>
      <w:r>
        <w:rPr>
          <w:i/>
        </w:rPr>
        <w:t>See</w:t>
      </w:r>
      <w:r>
        <w:t xml:space="preserve"> Jordyn Holman, </w:t>
      </w:r>
      <w:r>
        <w:rPr>
          <w:i/>
        </w:rPr>
        <w:t>Why You Probably Won’t Finish Reading This Article</w:t>
      </w:r>
      <w:r>
        <w:t xml:space="preserve">, </w:t>
      </w:r>
      <w:r w:rsidRPr="00226CC0">
        <w:rPr>
          <w:smallCaps/>
        </w:rPr>
        <w:t>Huff. Post</w:t>
      </w:r>
      <w:r>
        <w:t xml:space="preserve"> (Mar. 11, 2015), </w:t>
      </w:r>
      <w:r w:rsidRPr="00F01399">
        <w:t>https://www.huffingtonpost.com/jordyn-holman/why-you-probably-wont-finish-reading-this-article_b_6850042.html</w:t>
      </w:r>
      <w:r>
        <w:t xml:space="preserve">; </w:t>
      </w:r>
      <w:proofErr w:type="spellStart"/>
      <w:r>
        <w:t>Farhad</w:t>
      </w:r>
      <w:proofErr w:type="spellEnd"/>
      <w:r>
        <w:t xml:space="preserve"> </w:t>
      </w:r>
      <w:proofErr w:type="spellStart"/>
      <w:r>
        <w:t>Manjoo</w:t>
      </w:r>
      <w:proofErr w:type="spellEnd"/>
      <w:r>
        <w:t xml:space="preserve">, </w:t>
      </w:r>
      <w:r>
        <w:rPr>
          <w:i/>
        </w:rPr>
        <w:t>You Won’t Finish This Article: Why People Online Don’t Read to the End</w:t>
      </w:r>
      <w:r>
        <w:t xml:space="preserve">, </w:t>
      </w:r>
      <w:r>
        <w:rPr>
          <w:smallCaps/>
        </w:rPr>
        <w:t>Slate</w:t>
      </w:r>
      <w:r>
        <w:t xml:space="preserve"> (June 6, 2013), </w:t>
      </w:r>
      <w:r w:rsidRPr="00F01399">
        <w:t>http://www.slate.com/articles/technology/technology/2013/06/how_people_read_online_why_you_won_t_finish_this_article.html</w:t>
      </w:r>
      <w:r>
        <w:t>.</w:t>
      </w:r>
    </w:p>
  </w:footnote>
  <w:footnote w:id="103">
    <w:p w14:paraId="5C6E3514" w14:textId="639868E8" w:rsidR="00BF48DB" w:rsidRPr="00990555" w:rsidRDefault="00BF48DB">
      <w:pPr>
        <w:pStyle w:val="FootnoteText"/>
      </w:pPr>
      <w:r>
        <w:rPr>
          <w:rStyle w:val="FootnoteReference"/>
        </w:rPr>
        <w:footnoteRef/>
      </w:r>
      <w:r>
        <w:t xml:space="preserve"> Lee, </w:t>
      </w:r>
      <w:r>
        <w:rPr>
          <w:i/>
        </w:rPr>
        <w:t>supra</w:t>
      </w:r>
      <w:r>
        <w:t xml:space="preserve"> note </w:t>
      </w:r>
      <w:r>
        <w:fldChar w:fldCharType="begin"/>
      </w:r>
      <w:r>
        <w:instrText xml:space="preserve"> NOTEREF _Ref535242397 \h </w:instrText>
      </w:r>
      <w:r>
        <w:fldChar w:fldCharType="separate"/>
      </w:r>
      <w:r>
        <w:t>88</w:t>
      </w:r>
      <w:r>
        <w:fldChar w:fldCharType="end"/>
      </w:r>
      <w:r>
        <w:t>.</w:t>
      </w:r>
    </w:p>
  </w:footnote>
  <w:footnote w:id="104">
    <w:p w14:paraId="0AF71BE8" w14:textId="77777777" w:rsidR="00BF48DB" w:rsidRPr="00701DF7" w:rsidRDefault="00BF48DB" w:rsidP="000823B9">
      <w:pPr>
        <w:pStyle w:val="FootnoteText"/>
      </w:pPr>
      <w:r>
        <w:rPr>
          <w:rStyle w:val="FootnoteReference"/>
        </w:rPr>
        <w:footnoteRef/>
      </w:r>
      <w:r>
        <w:t xml:space="preserve"> </w:t>
      </w:r>
      <w:r>
        <w:rPr>
          <w:i/>
        </w:rPr>
        <w:t xml:space="preserve">See, e.g., </w:t>
      </w:r>
      <w:r w:rsidRPr="00612CE6">
        <w:t xml:space="preserve">Naomi Altman &amp; Martin </w:t>
      </w:r>
      <w:proofErr w:type="spellStart"/>
      <w:r w:rsidRPr="00612CE6">
        <w:t>Krzywinski</w:t>
      </w:r>
      <w:proofErr w:type="spellEnd"/>
      <w:r w:rsidRPr="00612CE6">
        <w:t xml:space="preserve">, </w:t>
      </w:r>
      <w:r w:rsidRPr="00612CE6">
        <w:rPr>
          <w:i/>
        </w:rPr>
        <w:t>Points of Significance: Association, Correlation and Causation</w:t>
      </w:r>
      <w:r w:rsidRPr="00612CE6">
        <w:t xml:space="preserve">, 12 </w:t>
      </w:r>
      <w:r w:rsidRPr="00226CC0">
        <w:rPr>
          <w:smallCaps/>
        </w:rPr>
        <w:t>Nature</w:t>
      </w:r>
      <w:r>
        <w:rPr>
          <w:smallCaps/>
        </w:rPr>
        <w:t xml:space="preserve"> </w:t>
      </w:r>
      <w:r>
        <w:t>899, 899-900 (</w:t>
      </w:r>
      <w:r w:rsidRPr="00612CE6">
        <w:t xml:space="preserve">2015), http://www.nature.com/nmeth/journal/v12/n10/pdf/nmeth.3587.pdf (discussing the difference between association, </w:t>
      </w:r>
      <w:r>
        <w:t>causation, and correlation</w:t>
      </w:r>
      <w:r w:rsidRPr="00612CE6">
        <w:t>)</w:t>
      </w:r>
      <w:r>
        <w:t xml:space="preserve">; </w:t>
      </w:r>
      <w:r w:rsidRPr="00701DF7">
        <w:t xml:space="preserve">Christian </w:t>
      </w:r>
      <w:proofErr w:type="spellStart"/>
      <w:r w:rsidRPr="00701DF7">
        <w:t>Borgelt</w:t>
      </w:r>
      <w:proofErr w:type="spellEnd"/>
      <w:r w:rsidRPr="00701DF7">
        <w:t xml:space="preserve"> &amp; Rudolph Kruse</w:t>
      </w:r>
      <w:r>
        <w:t xml:space="preserve">, </w:t>
      </w:r>
      <w:r>
        <w:rPr>
          <w:i/>
        </w:rPr>
        <w:t>Probabilistic Networks and Inferred Causation</w:t>
      </w:r>
      <w:r>
        <w:t xml:space="preserve">, 18 </w:t>
      </w:r>
      <w:r>
        <w:rPr>
          <w:smallCaps/>
        </w:rPr>
        <w:t xml:space="preserve">Cardozo L. Rev. </w:t>
      </w:r>
      <w:r>
        <w:t>2001, 2014-19 (1997) (describing difference between correlation and causation).</w:t>
      </w:r>
    </w:p>
  </w:footnote>
  <w:footnote w:id="105">
    <w:p w14:paraId="358E64F3" w14:textId="3882C093" w:rsidR="00BF48DB" w:rsidRPr="00880023" w:rsidRDefault="00BF48DB" w:rsidP="00967969">
      <w:pPr>
        <w:pStyle w:val="FootnoteText"/>
      </w:pPr>
      <w:r>
        <w:rPr>
          <w:rStyle w:val="FootnoteReference"/>
        </w:rPr>
        <w:footnoteRef/>
      </w:r>
      <w:r>
        <w:t xml:space="preserve"> </w:t>
      </w:r>
      <w:r>
        <w:rPr>
          <w:i/>
        </w:rPr>
        <w:t>See</w:t>
      </w:r>
      <w:r>
        <w:t xml:space="preserve"> April Bleske-Rechek et al., </w:t>
      </w:r>
      <w:r w:rsidRPr="00944D33">
        <w:rPr>
          <w:i/>
        </w:rPr>
        <w:t>Causal Inference from Descriptions of Experimental and Non-Experimental Research: Public Understanding of Correlation-Versus Causation</w:t>
      </w:r>
      <w:r>
        <w:t xml:space="preserve">, 142 </w:t>
      </w:r>
      <w:r w:rsidRPr="00944D33">
        <w:rPr>
          <w:smallCaps/>
        </w:rPr>
        <w:t xml:space="preserve">J. Gen. </w:t>
      </w:r>
      <w:r w:rsidRPr="00226CC0">
        <w:rPr>
          <w:smallCaps/>
        </w:rPr>
        <w:t>Psych</w:t>
      </w:r>
      <w:r w:rsidRPr="00434EDC">
        <w:rPr>
          <w:smallCaps/>
        </w:rPr>
        <w:t>ol</w:t>
      </w:r>
      <w:r w:rsidRPr="007677FF">
        <w:rPr>
          <w:smallCaps/>
        </w:rPr>
        <w:t>.</w:t>
      </w:r>
      <w:r>
        <w:t xml:space="preserve"> 48, 68 (2015) (finding that “that people in the community frequently draw causal inferences from non-causal data, and they draw inferences—in terms of direction and causal path—that fit with their intuitive notions, regardless of the findings presented.”). </w:t>
      </w:r>
      <w:r>
        <w:rPr>
          <w:i/>
        </w:rPr>
        <w:t xml:space="preserve">See also </w:t>
      </w:r>
      <w:r>
        <w:t xml:space="preserve">Nick Barrowman, </w:t>
      </w:r>
      <w:r>
        <w:rPr>
          <w:i/>
        </w:rPr>
        <w:t>Correlation, Causation, and Confusion</w:t>
      </w:r>
      <w:r>
        <w:t xml:space="preserve">, 43 </w:t>
      </w:r>
      <w:r>
        <w:rPr>
          <w:smallCaps/>
        </w:rPr>
        <w:t>New Atlantis</w:t>
      </w:r>
      <w:r>
        <w:t xml:space="preserve"> 23, 24 (2014) (focusing on “how we should think about causation and correlation in medicine, politics, and our everyday lives.”).</w:t>
      </w:r>
    </w:p>
  </w:footnote>
  <w:footnote w:id="106">
    <w:p w14:paraId="44F64C60" w14:textId="0A1ADA43" w:rsidR="00BF48DB" w:rsidRPr="00E44FDB" w:rsidRDefault="00BF48DB" w:rsidP="000823B9">
      <w:pPr>
        <w:pStyle w:val="FootnoteText"/>
      </w:pPr>
      <w:r>
        <w:rPr>
          <w:rStyle w:val="FootnoteReference"/>
        </w:rPr>
        <w:footnoteRef/>
      </w:r>
      <w:r>
        <w:t xml:space="preserve"> </w:t>
      </w:r>
      <w:r>
        <w:rPr>
          <w:i/>
        </w:rPr>
        <w:t>See, e.g.,</w:t>
      </w:r>
      <w:r>
        <w:t xml:space="preserve"> </w:t>
      </w:r>
      <w:r w:rsidRPr="007F3993">
        <w:rPr>
          <w:smallCaps/>
        </w:rPr>
        <w:t>Australian Bureau of Statistics, Statistical Language: Correlation and Causation</w:t>
      </w:r>
      <w:r>
        <w:t xml:space="preserve"> (July 3, 2013), </w:t>
      </w:r>
      <w:r w:rsidRPr="007F3993">
        <w:t>http://www.abs.gov.au/websitedbs/a3121120.nsf/home/statistical+language+-+correlation+and+causation</w:t>
      </w:r>
      <w:r>
        <w:t xml:space="preserve"> (last visited Jan. 14, 2019)</w:t>
      </w:r>
    </w:p>
  </w:footnote>
  <w:footnote w:id="107">
    <w:p w14:paraId="37DCE873" w14:textId="77777777" w:rsidR="00BF48DB" w:rsidRPr="00AB4E21" w:rsidRDefault="00BF48DB" w:rsidP="000823B9">
      <w:pPr>
        <w:pStyle w:val="FootnoteText"/>
      </w:pPr>
      <w:r>
        <w:rPr>
          <w:rStyle w:val="FootnoteReference"/>
        </w:rPr>
        <w:footnoteRef/>
      </w:r>
      <w:r>
        <w:t xml:space="preserve"> </w:t>
      </w:r>
      <w:r>
        <w:rPr>
          <w:i/>
        </w:rPr>
        <w:t>Id.</w:t>
      </w:r>
    </w:p>
  </w:footnote>
  <w:footnote w:id="108">
    <w:p w14:paraId="30CE5AFF" w14:textId="2097447F" w:rsidR="00BF48DB" w:rsidRPr="000A1694" w:rsidRDefault="00BF48DB" w:rsidP="000823B9">
      <w:r w:rsidRPr="00AB4E21">
        <w:rPr>
          <w:rStyle w:val="FootnoteReference"/>
          <w:sz w:val="20"/>
          <w:szCs w:val="20"/>
        </w:rPr>
        <w:footnoteRef/>
      </w:r>
      <w:r w:rsidRPr="00AB4E21">
        <w:rPr>
          <w:sz w:val="20"/>
          <w:szCs w:val="20"/>
        </w:rPr>
        <w:t xml:space="preserve"> Robert Plomin &amp; Kathryn Asbury, </w:t>
      </w:r>
      <w:r w:rsidRPr="00AB4E21">
        <w:rPr>
          <w:i/>
          <w:sz w:val="20"/>
          <w:szCs w:val="20"/>
        </w:rPr>
        <w:t>Nature and Nurture: Genetic and Environmental Influences on Behavior</w:t>
      </w:r>
      <w:r w:rsidRPr="00AB4E21">
        <w:rPr>
          <w:sz w:val="20"/>
          <w:szCs w:val="20"/>
        </w:rPr>
        <w:t xml:space="preserve">, 600 </w:t>
      </w:r>
      <w:r w:rsidRPr="00D74588">
        <w:rPr>
          <w:smallCaps/>
          <w:sz w:val="20"/>
          <w:szCs w:val="20"/>
        </w:rPr>
        <w:t>Annals of the Am. Acad. of Pol.</w:t>
      </w:r>
      <w:r w:rsidRPr="00D74588">
        <w:rPr>
          <w:sz w:val="20"/>
          <w:szCs w:val="20"/>
        </w:rPr>
        <w:t xml:space="preserve"> </w:t>
      </w:r>
      <w:r w:rsidRPr="00D74588">
        <w:rPr>
          <w:smallCaps/>
          <w:sz w:val="20"/>
          <w:szCs w:val="20"/>
        </w:rPr>
        <w:t xml:space="preserve">&amp; Soc. Sci. </w:t>
      </w:r>
      <w:r w:rsidRPr="00D74588">
        <w:rPr>
          <w:sz w:val="20"/>
          <w:szCs w:val="20"/>
        </w:rPr>
        <w:t xml:space="preserve">86, 94 (2005). In another example, whereas smoking is causally related to the risk of lung disease, alcoholism may only be correlated. In other words, the risk of alcoholism may increase with the risk of lung disease, but one event does not necessarily cause the other. </w:t>
      </w:r>
      <w:r w:rsidRPr="00D74588">
        <w:rPr>
          <w:i/>
          <w:sz w:val="20"/>
          <w:szCs w:val="20"/>
        </w:rPr>
        <w:t>See</w:t>
      </w:r>
      <w:r w:rsidRPr="00D74588">
        <w:rPr>
          <w:sz w:val="20"/>
          <w:szCs w:val="20"/>
        </w:rPr>
        <w:t xml:space="preserve"> </w:t>
      </w:r>
      <w:r>
        <w:rPr>
          <w:sz w:val="20"/>
          <w:szCs w:val="20"/>
        </w:rPr>
        <w:t xml:space="preserve">Barrowman, </w:t>
      </w:r>
      <w:r>
        <w:rPr>
          <w:i/>
          <w:sz w:val="20"/>
          <w:szCs w:val="20"/>
        </w:rPr>
        <w:t>supra</w:t>
      </w:r>
      <w:r>
        <w:rPr>
          <w:sz w:val="20"/>
          <w:szCs w:val="20"/>
        </w:rPr>
        <w:t xml:space="preserve"> note </w:t>
      </w:r>
      <w:r>
        <w:rPr>
          <w:sz w:val="20"/>
          <w:szCs w:val="20"/>
        </w:rPr>
        <w:fldChar w:fldCharType="begin"/>
      </w:r>
      <w:r>
        <w:rPr>
          <w:sz w:val="20"/>
          <w:szCs w:val="20"/>
        </w:rPr>
        <w:instrText xml:space="preserve"> NOTEREF _Ref535242824 </w:instrText>
      </w:r>
      <w:r>
        <w:rPr>
          <w:sz w:val="20"/>
          <w:szCs w:val="20"/>
        </w:rPr>
        <w:fldChar w:fldCharType="separate"/>
      </w:r>
      <w:r>
        <w:rPr>
          <w:sz w:val="20"/>
          <w:szCs w:val="20"/>
        </w:rPr>
        <w:t>104</w:t>
      </w:r>
      <w:r>
        <w:rPr>
          <w:sz w:val="20"/>
          <w:szCs w:val="20"/>
        </w:rPr>
        <w:fldChar w:fldCharType="end"/>
      </w:r>
      <w:r>
        <w:rPr>
          <w:sz w:val="20"/>
          <w:szCs w:val="20"/>
        </w:rPr>
        <w:t>, at 24-25.</w:t>
      </w:r>
    </w:p>
  </w:footnote>
  <w:footnote w:id="109">
    <w:p w14:paraId="7785AC98" w14:textId="77777777" w:rsidR="00BF48DB" w:rsidRPr="00984470" w:rsidRDefault="00BF48DB" w:rsidP="000823B9">
      <w:pPr>
        <w:pStyle w:val="FootnoteText"/>
      </w:pPr>
      <w:r w:rsidRPr="00AB4E21">
        <w:rPr>
          <w:rStyle w:val="FootnoteReference"/>
        </w:rPr>
        <w:footnoteRef/>
      </w:r>
      <w:r w:rsidRPr="00AB4E21">
        <w:t xml:space="preserve"> </w:t>
      </w:r>
      <w:r w:rsidRPr="00AB4E21">
        <w:rPr>
          <w:i/>
        </w:rPr>
        <w:t>See</w:t>
      </w:r>
      <w:r w:rsidRPr="00AB4E21">
        <w:t xml:space="preserve"> </w:t>
      </w:r>
      <w:r w:rsidRPr="00AB4E21">
        <w:rPr>
          <w:i/>
        </w:rPr>
        <w:t>Beware Spurious Correlations</w:t>
      </w:r>
      <w:r w:rsidRPr="00AB4E21">
        <w:t xml:space="preserve">, </w:t>
      </w:r>
      <w:proofErr w:type="spellStart"/>
      <w:r w:rsidRPr="00AB4E21">
        <w:rPr>
          <w:smallCaps/>
        </w:rPr>
        <w:t>Harv</w:t>
      </w:r>
      <w:proofErr w:type="spellEnd"/>
      <w:r w:rsidRPr="00AB4E21">
        <w:rPr>
          <w:smallCaps/>
        </w:rPr>
        <w:t>. Bus. Rev</w:t>
      </w:r>
      <w:r>
        <w:rPr>
          <w:smallCaps/>
        </w:rPr>
        <w:t>.</w:t>
      </w:r>
      <w:r>
        <w:t>, June 2015, at 34, 34-35.</w:t>
      </w:r>
    </w:p>
  </w:footnote>
  <w:footnote w:id="110">
    <w:p w14:paraId="5E3B39C1" w14:textId="68FD7601" w:rsidR="00BF48DB" w:rsidRPr="000D3154" w:rsidRDefault="00BF48DB" w:rsidP="000823B9">
      <w:pPr>
        <w:pStyle w:val="FootnoteText"/>
      </w:pPr>
      <w:r>
        <w:rPr>
          <w:rStyle w:val="FootnoteReference"/>
        </w:rPr>
        <w:footnoteRef/>
      </w:r>
      <w:r>
        <w:t xml:space="preserve"> </w:t>
      </w:r>
      <w:proofErr w:type="spellStart"/>
      <w:r>
        <w:t>Borgelt</w:t>
      </w:r>
      <w:proofErr w:type="spellEnd"/>
      <w:r>
        <w:t xml:space="preserve"> &amp; Kruse, </w:t>
      </w:r>
      <w:r>
        <w:rPr>
          <w:i/>
        </w:rPr>
        <w:t xml:space="preserve">supra </w:t>
      </w:r>
      <w:r>
        <w:t xml:space="preserve">note </w:t>
      </w:r>
      <w:r>
        <w:fldChar w:fldCharType="begin"/>
      </w:r>
      <w:r>
        <w:instrText xml:space="preserve"> NOTEREF _Ref535242844 \h </w:instrText>
      </w:r>
      <w:r>
        <w:fldChar w:fldCharType="separate"/>
      </w:r>
      <w:r>
        <w:t>103</w:t>
      </w:r>
      <w:r>
        <w:fldChar w:fldCharType="end"/>
      </w:r>
      <w:r>
        <w:t>, at 2015.</w:t>
      </w:r>
    </w:p>
  </w:footnote>
  <w:footnote w:id="111">
    <w:p w14:paraId="212388BE" w14:textId="5EA4E984" w:rsidR="00BF48DB" w:rsidRDefault="00BF48DB">
      <w:pPr>
        <w:pStyle w:val="FootnoteText"/>
      </w:pPr>
      <w:r>
        <w:rPr>
          <w:rStyle w:val="FootnoteReference"/>
        </w:rPr>
        <w:footnoteRef/>
      </w:r>
      <w:r>
        <w:t xml:space="preserve"> </w:t>
      </w:r>
      <w:proofErr w:type="spellStart"/>
      <w:r>
        <w:t>Eun-Jee</w:t>
      </w:r>
      <w:proofErr w:type="spellEnd"/>
      <w:r>
        <w:t xml:space="preserve">, </w:t>
      </w:r>
      <w:r>
        <w:rPr>
          <w:i/>
        </w:rPr>
        <w:t>supra</w:t>
      </w:r>
      <w:r>
        <w:t xml:space="preserve"> note </w:t>
      </w:r>
      <w:r>
        <w:fldChar w:fldCharType="begin"/>
      </w:r>
      <w:r>
        <w:instrText xml:space="preserve"> NOTEREF _Ref535242865 \h </w:instrText>
      </w:r>
      <w:r>
        <w:fldChar w:fldCharType="separate"/>
      </w:r>
      <w:r>
        <w:t>86</w:t>
      </w:r>
      <w:r>
        <w:fldChar w:fldCharType="end"/>
      </w:r>
      <w:r>
        <w:t xml:space="preserve"> (quoting Hwang </w:t>
      </w:r>
      <w:proofErr w:type="spellStart"/>
      <w:r>
        <w:t>Seon</w:t>
      </w:r>
      <w:proofErr w:type="spellEnd"/>
      <w:r>
        <w:t xml:space="preserve">-ah, </w:t>
      </w:r>
      <w:r w:rsidRPr="00625900">
        <w:t>who spearheaded the launch of Brunch</w:t>
      </w:r>
      <w:r>
        <w:t>, who states that “</w:t>
      </w:r>
      <w:r w:rsidRPr="00625900">
        <w:t xml:space="preserve">Brunch will let anybody who loves writing share it with others </w:t>
      </w:r>
      <w:r>
        <w:t xml:space="preserve">and produce content more easily </w:t>
      </w:r>
      <w:proofErr w:type="gramStart"/>
      <w:r>
        <w:t xml:space="preserve">. . . </w:t>
      </w:r>
      <w:r w:rsidRPr="00625900">
        <w:t>”</w:t>
      </w:r>
      <w:proofErr w:type="gramEnd"/>
      <w:r>
        <w:t>).</w:t>
      </w:r>
    </w:p>
  </w:footnote>
  <w:footnote w:id="112">
    <w:p w14:paraId="6B419C84" w14:textId="35A7DD31" w:rsidR="00BF48DB" w:rsidRPr="00C0309B" w:rsidRDefault="00BF48DB">
      <w:pPr>
        <w:pStyle w:val="FootnoteText"/>
      </w:pPr>
      <w:r>
        <w:rPr>
          <w:rStyle w:val="FootnoteReference"/>
        </w:rPr>
        <w:footnoteRef/>
      </w:r>
      <w:r>
        <w:t xml:space="preserve"> According to </w:t>
      </w:r>
      <w:proofErr w:type="spellStart"/>
      <w:r>
        <w:t>Kakao’s</w:t>
      </w:r>
      <w:proofErr w:type="spellEnd"/>
      <w:r>
        <w:t xml:space="preserve"> corporate website, by posting on Brunch “your writing becomes a work of art.” </w:t>
      </w:r>
      <w:r w:rsidRPr="005D1B56">
        <w:rPr>
          <w:i/>
        </w:rPr>
        <w:t>Brunch, Where Writing Becomes a Work of Art</w:t>
      </w:r>
      <w:r w:rsidRPr="00226CC0">
        <w:t>,</w:t>
      </w:r>
      <w:r w:rsidRPr="00434EDC">
        <w:t xml:space="preserve"> </w:t>
      </w:r>
      <w:proofErr w:type="spellStart"/>
      <w:r w:rsidRPr="005D1B56">
        <w:rPr>
          <w:rFonts w:cs="Times New Roman (Body CS)"/>
          <w:smallCaps/>
        </w:rPr>
        <w:t>Kakao</w:t>
      </w:r>
      <w:proofErr w:type="spellEnd"/>
      <w:r w:rsidRPr="005D1B56">
        <w:rPr>
          <w:rFonts w:cs="Times New Roman (Body CS)"/>
          <w:smallCaps/>
        </w:rPr>
        <w:t>,</w:t>
      </w:r>
      <w:r>
        <w:t xml:space="preserve"> </w:t>
      </w:r>
      <w:r w:rsidRPr="005D1B56">
        <w:rPr>
          <w:rStyle w:val="Hyperlink"/>
          <w:color w:val="000000" w:themeColor="text1"/>
          <w:u w:val="none"/>
        </w:rPr>
        <w:t>https://www.kakaocorp.com/service/Brunch?lang=en</w:t>
      </w:r>
      <w:r>
        <w:t xml:space="preserve">. </w:t>
      </w:r>
      <w:r>
        <w:rPr>
          <w:i/>
        </w:rPr>
        <w:t>See also</w:t>
      </w:r>
      <w:r>
        <w:t xml:space="preserve"> </w:t>
      </w:r>
      <w:proofErr w:type="spellStart"/>
      <w:r>
        <w:t>Eun-Jee</w:t>
      </w:r>
      <w:proofErr w:type="spellEnd"/>
      <w:r>
        <w:t xml:space="preserve">, </w:t>
      </w:r>
      <w:r>
        <w:rPr>
          <w:i/>
        </w:rPr>
        <w:t>supra</w:t>
      </w:r>
      <w:r>
        <w:t xml:space="preserve"> note </w:t>
      </w:r>
      <w:r>
        <w:fldChar w:fldCharType="begin"/>
      </w:r>
      <w:r>
        <w:instrText xml:space="preserve"> NOTEREF _Ref535242865 \h </w:instrText>
      </w:r>
      <w:r>
        <w:fldChar w:fldCharType="separate"/>
      </w:r>
      <w:r>
        <w:t>86</w:t>
      </w:r>
      <w:r>
        <w:fldChar w:fldCharType="end"/>
      </w:r>
      <w:r>
        <w:t xml:space="preserve"> (“</w:t>
      </w:r>
      <w:r w:rsidRPr="00867CEA">
        <w:t>Brunch is a platform for people to publish their compositions in an easy-to-read format reminiscent of magazines.</w:t>
      </w:r>
      <w:r>
        <w:t>”).</w:t>
      </w:r>
    </w:p>
  </w:footnote>
  <w:footnote w:id="113">
    <w:p w14:paraId="1A7D7A9C" w14:textId="29903E59" w:rsidR="00BF48DB" w:rsidRDefault="00BF48DB">
      <w:pPr>
        <w:pStyle w:val="FootnoteText"/>
      </w:pPr>
      <w:r>
        <w:rPr>
          <w:rStyle w:val="FootnoteReference"/>
        </w:rPr>
        <w:footnoteRef/>
      </w:r>
      <w:r>
        <w:t xml:space="preserve"> David Robins &amp; Jason Holmes, </w:t>
      </w:r>
      <w:r>
        <w:rPr>
          <w:i/>
        </w:rPr>
        <w:t>Aesthetics and Credibility in Web Site Design</w:t>
      </w:r>
      <w:r>
        <w:t xml:space="preserve">, 44 </w:t>
      </w:r>
      <w:r>
        <w:rPr>
          <w:smallCaps/>
        </w:rPr>
        <w:t>Info. Processing &amp; Mgmt.</w:t>
      </w:r>
      <w:r>
        <w:t xml:space="preserve"> 386, 397-98 (2008) (finding that online content with better aesthetics is judged as having greater credibility); Farah </w:t>
      </w:r>
      <w:proofErr w:type="spellStart"/>
      <w:r>
        <w:t>Alsudani</w:t>
      </w:r>
      <w:proofErr w:type="spellEnd"/>
      <w:r>
        <w:t xml:space="preserve"> &amp; Matthew Casey, </w:t>
      </w:r>
      <w:r w:rsidRPr="00B24B04">
        <w:rPr>
          <w:i/>
        </w:rPr>
        <w:t>The Effect of Aesthetics on Web Credibility</w:t>
      </w:r>
      <w:r>
        <w:t xml:space="preserve">, 23 </w:t>
      </w:r>
      <w:r w:rsidRPr="00B24B04">
        <w:rPr>
          <w:smallCaps/>
        </w:rPr>
        <w:t>People &amp; Comp.</w:t>
      </w:r>
      <w:r>
        <w:t xml:space="preserve"> 512, 517-18 (2009) (similar).</w:t>
      </w:r>
    </w:p>
  </w:footnote>
  <w:footnote w:id="114">
    <w:p w14:paraId="70E187AA" w14:textId="269F9826" w:rsidR="00BF48DB" w:rsidRPr="0079121F" w:rsidRDefault="00BF48DB" w:rsidP="002919C4">
      <w:pPr>
        <w:pStyle w:val="FootnoteText"/>
      </w:pPr>
      <w:r>
        <w:rPr>
          <w:rStyle w:val="FootnoteReference"/>
        </w:rPr>
        <w:footnoteRef/>
      </w:r>
      <w:r>
        <w:t xml:space="preserve"> Victoria H. Peters, </w:t>
      </w:r>
      <w:r w:rsidRPr="00112B4F">
        <w:rPr>
          <w:i/>
        </w:rPr>
        <w:t>The Health Consequence of Genetically Modified Organisms and Lack of Regulation: Genetically Engineered Food Linked to Rise in Autism Prevalence</w:t>
      </w:r>
      <w:r>
        <w:t xml:space="preserve">, 14 </w:t>
      </w:r>
      <w:r>
        <w:rPr>
          <w:smallCaps/>
        </w:rPr>
        <w:t xml:space="preserve">Sustainable Dev. L. &amp; </w:t>
      </w:r>
      <w:proofErr w:type="spellStart"/>
      <w:r>
        <w:rPr>
          <w:smallCaps/>
        </w:rPr>
        <w:t>Pol'y</w:t>
      </w:r>
      <w:proofErr w:type="spellEnd"/>
      <w:r>
        <w:rPr>
          <w:smallCaps/>
        </w:rPr>
        <w:t xml:space="preserve"> 21, 21 (2014).</w:t>
      </w:r>
    </w:p>
  </w:footnote>
  <w:footnote w:id="115">
    <w:p w14:paraId="171E7993" w14:textId="77777777" w:rsidR="00BF48DB" w:rsidRPr="0079121F" w:rsidRDefault="00BF48DB" w:rsidP="002919C4">
      <w:pPr>
        <w:pStyle w:val="FootnoteText"/>
      </w:pPr>
      <w:r>
        <w:rPr>
          <w:rStyle w:val="FootnoteReference"/>
        </w:rPr>
        <w:footnoteRef/>
      </w:r>
      <w:r>
        <w:t xml:space="preserve"> </w:t>
      </w:r>
      <w:r>
        <w:rPr>
          <w:i/>
        </w:rPr>
        <w:t>Id.</w:t>
      </w:r>
      <w:r>
        <w:t xml:space="preserve"> at 21.</w:t>
      </w:r>
    </w:p>
  </w:footnote>
  <w:footnote w:id="116">
    <w:p w14:paraId="235CA9E6" w14:textId="6C8CAA66" w:rsidR="00BF48DB" w:rsidRPr="007518E1" w:rsidRDefault="00BF48DB">
      <w:pPr>
        <w:pStyle w:val="FootnoteText"/>
      </w:pPr>
      <w:r>
        <w:rPr>
          <w:rStyle w:val="FootnoteReference"/>
        </w:rPr>
        <w:footnoteRef/>
      </w:r>
      <w:r>
        <w:t xml:space="preserve"> </w:t>
      </w:r>
      <w:r>
        <w:rPr>
          <w:i/>
        </w:rPr>
        <w:t>Id.</w:t>
      </w:r>
    </w:p>
  </w:footnote>
  <w:footnote w:id="117">
    <w:p w14:paraId="395ECF7A" w14:textId="6D5FBF8E" w:rsidR="00BF48DB" w:rsidRPr="007518E1" w:rsidRDefault="00BF48DB" w:rsidP="00225342">
      <w:pPr>
        <w:pStyle w:val="FootnoteText"/>
      </w:pPr>
      <w:r>
        <w:rPr>
          <w:rStyle w:val="FootnoteReference"/>
        </w:rPr>
        <w:footnoteRef/>
      </w:r>
      <w:r>
        <w:t xml:space="preserve"> </w:t>
      </w:r>
      <w:r>
        <w:rPr>
          <w:i/>
        </w:rPr>
        <w:t>Id.</w:t>
      </w:r>
    </w:p>
  </w:footnote>
  <w:footnote w:id="118">
    <w:p w14:paraId="560FCB17" w14:textId="61423C48" w:rsidR="00BF48DB" w:rsidRPr="007518E1" w:rsidRDefault="00BF48DB" w:rsidP="00206667">
      <w:pPr>
        <w:pStyle w:val="FootnoteText"/>
      </w:pPr>
      <w:r>
        <w:rPr>
          <w:rStyle w:val="FootnoteReference"/>
        </w:rPr>
        <w:footnoteRef/>
      </w:r>
      <w:r>
        <w:t xml:space="preserve"> </w:t>
      </w:r>
      <w:r>
        <w:rPr>
          <w:i/>
        </w:rPr>
        <w:t>Id.</w:t>
      </w:r>
    </w:p>
  </w:footnote>
  <w:footnote w:id="119">
    <w:p w14:paraId="36EF17EF" w14:textId="647692C3" w:rsidR="00BF48DB" w:rsidRDefault="00BF48DB" w:rsidP="00206667">
      <w:pPr>
        <w:pStyle w:val="FootnoteText"/>
      </w:pPr>
      <w:r>
        <w:rPr>
          <w:rStyle w:val="FootnoteReference"/>
        </w:rPr>
        <w:footnoteRef/>
      </w:r>
      <w:r>
        <w:t xml:space="preserve"> </w:t>
      </w:r>
      <w:r>
        <w:rPr>
          <w:i/>
        </w:rPr>
        <w:t>Id.</w:t>
      </w:r>
    </w:p>
  </w:footnote>
  <w:footnote w:id="120">
    <w:p w14:paraId="0D75F8DB" w14:textId="33E91D35" w:rsidR="00BF48DB" w:rsidRDefault="00BF48DB" w:rsidP="00206667">
      <w:pPr>
        <w:pStyle w:val="FootnoteText"/>
      </w:pPr>
      <w:r>
        <w:rPr>
          <w:rStyle w:val="FootnoteReference"/>
        </w:rPr>
        <w:footnoteRef/>
      </w:r>
      <w:r>
        <w:t xml:space="preserve"> </w:t>
      </w:r>
      <w:r>
        <w:rPr>
          <w:i/>
        </w:rPr>
        <w:t>Id.</w:t>
      </w:r>
    </w:p>
  </w:footnote>
  <w:footnote w:id="121">
    <w:p w14:paraId="01D8928C" w14:textId="3571EFA3" w:rsidR="00BF48DB" w:rsidRDefault="00BF48DB" w:rsidP="00206667">
      <w:pPr>
        <w:pStyle w:val="FootnoteText"/>
      </w:pPr>
      <w:r>
        <w:rPr>
          <w:rStyle w:val="FootnoteReference"/>
        </w:rPr>
        <w:footnoteRef/>
      </w:r>
      <w:r>
        <w:t xml:space="preserve"> </w:t>
      </w:r>
      <w:r>
        <w:rPr>
          <w:i/>
        </w:rPr>
        <w:t>Id.</w:t>
      </w:r>
    </w:p>
  </w:footnote>
  <w:footnote w:id="122">
    <w:p w14:paraId="009DDE3A" w14:textId="6F03152E" w:rsidR="00BF48DB" w:rsidRDefault="00BF48DB">
      <w:pPr>
        <w:pStyle w:val="FootnoteText"/>
      </w:pPr>
      <w:r>
        <w:rPr>
          <w:rStyle w:val="FootnoteReference"/>
        </w:rPr>
        <w:footnoteRef/>
      </w:r>
      <w:r>
        <w:t xml:space="preserve"> </w:t>
      </w:r>
      <w:r>
        <w:rPr>
          <w:i/>
        </w:rPr>
        <w:t>Id.</w:t>
      </w:r>
    </w:p>
  </w:footnote>
  <w:footnote w:id="123">
    <w:p w14:paraId="0C40A7F1" w14:textId="38C43091" w:rsidR="00BF48DB" w:rsidRPr="007518E1" w:rsidRDefault="00BF48DB">
      <w:pPr>
        <w:pStyle w:val="FootnoteText"/>
      </w:pPr>
      <w:r>
        <w:rPr>
          <w:rStyle w:val="FootnoteReference"/>
        </w:rPr>
        <w:footnoteRef/>
      </w:r>
      <w:r>
        <w:t xml:space="preserve"> </w:t>
      </w:r>
      <w:r>
        <w:rPr>
          <w:i/>
        </w:rPr>
        <w:t>Id.</w:t>
      </w:r>
    </w:p>
  </w:footnote>
  <w:footnote w:id="124">
    <w:p w14:paraId="08B5F5E0" w14:textId="5987F109" w:rsidR="00BF48DB" w:rsidRDefault="00BF48DB">
      <w:pPr>
        <w:pStyle w:val="FootnoteText"/>
      </w:pPr>
      <w:r>
        <w:rPr>
          <w:rStyle w:val="FootnoteReference"/>
        </w:rPr>
        <w:footnoteRef/>
      </w:r>
      <w:r>
        <w:t xml:space="preserve"> </w:t>
      </w:r>
      <w:r>
        <w:rPr>
          <w:i/>
        </w:rPr>
        <w:t>Id.</w:t>
      </w:r>
    </w:p>
  </w:footnote>
  <w:footnote w:id="125">
    <w:p w14:paraId="607BA80C" w14:textId="4F36BCE3" w:rsidR="00BF48DB" w:rsidRDefault="00BF48DB">
      <w:pPr>
        <w:pStyle w:val="FootnoteText"/>
      </w:pPr>
      <w:r>
        <w:rPr>
          <w:rStyle w:val="FootnoteReference"/>
        </w:rPr>
        <w:footnoteRef/>
      </w:r>
      <w:r>
        <w:t xml:space="preserve"> </w:t>
      </w:r>
      <w:r>
        <w:rPr>
          <w:i/>
        </w:rPr>
        <w:t>Id.</w:t>
      </w:r>
    </w:p>
  </w:footnote>
  <w:footnote w:id="126">
    <w:p w14:paraId="5BAD72DA" w14:textId="03DD813D" w:rsidR="00BF48DB" w:rsidRPr="001C6ACC" w:rsidRDefault="00BF48DB" w:rsidP="0032613C">
      <w:pPr>
        <w:pStyle w:val="FootnoteText"/>
      </w:pPr>
      <w:r>
        <w:rPr>
          <w:rStyle w:val="FootnoteReference"/>
        </w:rPr>
        <w:footnoteRef/>
      </w:r>
      <w:r>
        <w:t xml:space="preserve"> Peters, </w:t>
      </w:r>
      <w:r>
        <w:rPr>
          <w:i/>
        </w:rPr>
        <w:t xml:space="preserve">supra </w:t>
      </w:r>
      <w:r>
        <w:t xml:space="preserve">note </w:t>
      </w:r>
      <w:r>
        <w:fldChar w:fldCharType="begin"/>
      </w:r>
      <w:r>
        <w:instrText xml:space="preserve"> NOTEREF _Ref535243078 \h </w:instrText>
      </w:r>
      <w:r>
        <w:fldChar w:fldCharType="separate"/>
      </w:r>
      <w:r>
        <w:t>113</w:t>
      </w:r>
      <w:r>
        <w:fldChar w:fldCharType="end"/>
      </w:r>
      <w:r>
        <w:t xml:space="preserve">, at 22. This extends to meeting its obligations under article 24 of the Convention on the Rights of the Child. </w:t>
      </w:r>
      <w:r>
        <w:rPr>
          <w:i/>
        </w:rPr>
        <w:t>Id</w:t>
      </w:r>
      <w:r>
        <w:t xml:space="preserve"> (citing </w:t>
      </w:r>
      <w:r w:rsidRPr="00471911">
        <w:t>Convention on the Rights of the Child, Nov. 20, 1989, 1577 U.N.T.S. 3</w:t>
      </w:r>
      <w:r>
        <w:t>).</w:t>
      </w:r>
    </w:p>
  </w:footnote>
  <w:footnote w:id="127">
    <w:p w14:paraId="281C0AD6" w14:textId="77777777" w:rsidR="00BF48DB" w:rsidRPr="00496BC6" w:rsidRDefault="00BF48DB" w:rsidP="0032613C">
      <w:pPr>
        <w:pStyle w:val="FootnoteText"/>
      </w:pPr>
      <w:r>
        <w:rPr>
          <w:rStyle w:val="FootnoteReference"/>
        </w:rPr>
        <w:footnoteRef/>
      </w:r>
      <w:r>
        <w:t xml:space="preserve"> </w:t>
      </w:r>
      <w:r>
        <w:rPr>
          <w:i/>
        </w:rPr>
        <w:t>Id.</w:t>
      </w:r>
    </w:p>
  </w:footnote>
  <w:footnote w:id="128">
    <w:p w14:paraId="08CC4C54" w14:textId="77777777" w:rsidR="00BF48DB" w:rsidRPr="00FE33B5" w:rsidRDefault="00BF48DB" w:rsidP="0032613C">
      <w:pPr>
        <w:pStyle w:val="FootnoteText"/>
      </w:pPr>
      <w:r>
        <w:rPr>
          <w:rStyle w:val="FootnoteReference"/>
        </w:rPr>
        <w:footnoteRef/>
      </w:r>
      <w:r>
        <w:t xml:space="preserve"> </w:t>
      </w:r>
      <w:r>
        <w:rPr>
          <w:i/>
        </w:rPr>
        <w:t>Id.</w:t>
      </w:r>
    </w:p>
  </w:footnote>
  <w:footnote w:id="129">
    <w:p w14:paraId="2098DFB3" w14:textId="77777777" w:rsidR="00BF48DB" w:rsidRPr="000C01FC" w:rsidRDefault="00BF48DB" w:rsidP="0032613C">
      <w:pPr>
        <w:pStyle w:val="FootnoteText"/>
      </w:pPr>
      <w:r>
        <w:rPr>
          <w:rStyle w:val="FootnoteReference"/>
        </w:rPr>
        <w:footnoteRef/>
      </w:r>
      <w:r>
        <w:t xml:space="preserve"> </w:t>
      </w:r>
      <w:r>
        <w:rPr>
          <w:i/>
        </w:rPr>
        <w:t>Id.</w:t>
      </w:r>
    </w:p>
  </w:footnote>
  <w:footnote w:id="130">
    <w:p w14:paraId="23CA9DD0" w14:textId="77777777" w:rsidR="00BF48DB" w:rsidRPr="009D5989" w:rsidRDefault="00BF48DB" w:rsidP="0032613C">
      <w:pPr>
        <w:pStyle w:val="FootnoteText"/>
      </w:pPr>
      <w:r>
        <w:rPr>
          <w:rStyle w:val="FootnoteReference"/>
        </w:rPr>
        <w:footnoteRef/>
      </w:r>
      <w:r>
        <w:t xml:space="preserve"> </w:t>
      </w:r>
      <w:r>
        <w:rPr>
          <w:i/>
        </w:rPr>
        <w:t>Id.</w:t>
      </w:r>
    </w:p>
  </w:footnote>
  <w:footnote w:id="131">
    <w:p w14:paraId="1ADE6CCF" w14:textId="1AC523A6" w:rsidR="00BF48DB" w:rsidRDefault="00BF48DB">
      <w:pPr>
        <w:pStyle w:val="FootnoteText"/>
      </w:pPr>
      <w:r>
        <w:rPr>
          <w:rStyle w:val="FootnoteReference"/>
        </w:rPr>
        <w:footnoteRef/>
      </w:r>
      <w:r>
        <w:t xml:space="preserve"> </w:t>
      </w:r>
      <w:r>
        <w:rPr>
          <w:i/>
        </w:rPr>
        <w:t>Id.</w:t>
      </w:r>
      <w:r>
        <w:t xml:space="preserve"> (citing </w:t>
      </w:r>
      <w:r w:rsidRPr="00977CE2">
        <w:t>U</w:t>
      </w:r>
      <w:r w:rsidRPr="007F38AF">
        <w:t>.</w:t>
      </w:r>
      <w:r w:rsidRPr="00977CE2">
        <w:t>N</w:t>
      </w:r>
      <w:r w:rsidRPr="007F38AF">
        <w:t>.</w:t>
      </w:r>
      <w:r w:rsidRPr="00977CE2">
        <w:t xml:space="preserve"> </w:t>
      </w:r>
      <w:r w:rsidRPr="005D1B56">
        <w:t xml:space="preserve">Conference on Environment and Development, </w:t>
      </w:r>
      <w:r w:rsidRPr="005D1B56">
        <w:rPr>
          <w:i/>
        </w:rPr>
        <w:t xml:space="preserve">Rio Declaration on </w:t>
      </w:r>
      <w:proofErr w:type="spellStart"/>
      <w:r w:rsidRPr="005D1B56">
        <w:rPr>
          <w:i/>
        </w:rPr>
        <w:t>Enviornment</w:t>
      </w:r>
      <w:proofErr w:type="spellEnd"/>
      <w:r w:rsidRPr="005D1B56">
        <w:rPr>
          <w:i/>
        </w:rPr>
        <w:t xml:space="preserve"> and </w:t>
      </w:r>
      <w:r w:rsidRPr="005D1B56">
        <w:t xml:space="preserve">Development, U.N. </w:t>
      </w:r>
      <w:r w:rsidRPr="00977CE2">
        <w:t>Doc. A/CONF.</w:t>
      </w:r>
      <w:r w:rsidRPr="007F38AF">
        <w:t>1</w:t>
      </w:r>
      <w:r w:rsidRPr="00977CE2">
        <w:t>51/26 (</w:t>
      </w:r>
      <w:r w:rsidRPr="007F38AF">
        <w:t>V</w:t>
      </w:r>
      <w:r w:rsidRPr="00977CE2">
        <w:t xml:space="preserve">ol. </w:t>
      </w:r>
      <w:r w:rsidRPr="007F38AF">
        <w:t>I</w:t>
      </w:r>
      <w:r w:rsidRPr="00977CE2">
        <w:t>)</w:t>
      </w:r>
      <w:r>
        <w:t xml:space="preserve"> </w:t>
      </w:r>
      <w:r w:rsidRPr="00977CE2">
        <w:t>(</w:t>
      </w:r>
      <w:r w:rsidRPr="00842682">
        <w:t xml:space="preserve">Aug. 12, </w:t>
      </w:r>
      <w:r w:rsidRPr="00977CE2">
        <w:t>1992</w:t>
      </w:r>
      <w:r>
        <w:t xml:space="preserve">); </w:t>
      </w:r>
      <w:r>
        <w:rPr>
          <w:i/>
        </w:rPr>
        <w:t>id.</w:t>
      </w:r>
      <w:r>
        <w:t xml:space="preserve"> at annex I).</w:t>
      </w:r>
    </w:p>
  </w:footnote>
  <w:footnote w:id="132">
    <w:p w14:paraId="6200F486" w14:textId="45EA4BB2" w:rsidR="00BF48DB" w:rsidRPr="007518E1" w:rsidRDefault="00BF48DB">
      <w:pPr>
        <w:pStyle w:val="FootnoteText"/>
      </w:pPr>
      <w:r>
        <w:rPr>
          <w:rStyle w:val="FootnoteReference"/>
        </w:rPr>
        <w:footnoteRef/>
      </w:r>
      <w:r>
        <w:t xml:space="preserve"> </w:t>
      </w:r>
      <w:r>
        <w:rPr>
          <w:i/>
        </w:rPr>
        <w:t>Id.</w:t>
      </w:r>
    </w:p>
  </w:footnote>
  <w:footnote w:id="133">
    <w:p w14:paraId="59B1A2C7" w14:textId="7A162E92" w:rsidR="00BF48DB" w:rsidRPr="00764D8D" w:rsidRDefault="00BF48DB" w:rsidP="00A9086B">
      <w:pPr>
        <w:pStyle w:val="FootnoteText"/>
        <w:rPr>
          <w:smallCaps/>
        </w:rPr>
      </w:pPr>
      <w:r>
        <w:rPr>
          <w:rStyle w:val="FootnoteReference"/>
        </w:rPr>
        <w:footnoteRef/>
      </w:r>
      <w:r>
        <w:t xml:space="preserve"> </w:t>
      </w:r>
      <w:r>
        <w:rPr>
          <w:i/>
        </w:rPr>
        <w:t>See</w:t>
      </w:r>
      <w:r>
        <w:t xml:space="preserve"> </w:t>
      </w:r>
      <w:r w:rsidRPr="00764D8D">
        <w:t xml:space="preserve">Gregory D. </w:t>
      </w:r>
      <w:proofErr w:type="spellStart"/>
      <w:r w:rsidRPr="00764D8D">
        <w:t>Fullem</w:t>
      </w:r>
      <w:proofErr w:type="spellEnd"/>
      <w:r w:rsidRPr="00764D8D">
        <w:t xml:space="preserve">, </w:t>
      </w:r>
      <w:r w:rsidRPr="00764D8D">
        <w:rPr>
          <w:i/>
        </w:rPr>
        <w:t>The Precautionary Principle: Environmental Protection in the Face of Scientific Uncertainty</w:t>
      </w:r>
      <w:r w:rsidRPr="00764D8D">
        <w:t xml:space="preserve">, 31 </w:t>
      </w:r>
      <w:r w:rsidRPr="000B6A4A">
        <w:rPr>
          <w:smallCaps/>
        </w:rPr>
        <w:t>Willamette</w:t>
      </w:r>
      <w:r>
        <w:rPr>
          <w:smallCaps/>
        </w:rPr>
        <w:t xml:space="preserve"> L. Rev. </w:t>
      </w:r>
      <w:r w:rsidRPr="00764D8D">
        <w:t>495, 497-98 (1995) (reporting that “the principle asserts that regulators and decision makers should act in anticipation of environmental harm, without regard to the certainty of the scientific information pertaining to the risk of harm”)</w:t>
      </w:r>
      <w:r>
        <w:t xml:space="preserve">; </w:t>
      </w:r>
      <w:r w:rsidRPr="00764D8D">
        <w:t xml:space="preserve">Lothar </w:t>
      </w:r>
      <w:proofErr w:type="spellStart"/>
      <w:r w:rsidRPr="00764D8D">
        <w:t>Gundling</w:t>
      </w:r>
      <w:proofErr w:type="spellEnd"/>
      <w:r w:rsidRPr="00764D8D">
        <w:t xml:space="preserve">, </w:t>
      </w:r>
      <w:r w:rsidRPr="00C750F3">
        <w:rPr>
          <w:i/>
        </w:rPr>
        <w:t>The Status in International Law of the Principle of Precautionary Action</w:t>
      </w:r>
      <w:r w:rsidRPr="00764D8D">
        <w:t xml:space="preserve">, 5 </w:t>
      </w:r>
      <w:r>
        <w:rPr>
          <w:smallCaps/>
        </w:rPr>
        <w:t xml:space="preserve">Int’l J. Estuarine &amp; Coastal L. </w:t>
      </w:r>
      <w:r w:rsidRPr="00764D8D">
        <w:t>23, 26 (1990) (declaring that precautionary principle “requires action even if risks are not yet certain but only probable, or, even less, not excluded”)</w:t>
      </w:r>
      <w:r>
        <w:t>.</w:t>
      </w:r>
    </w:p>
  </w:footnote>
  <w:footnote w:id="134">
    <w:p w14:paraId="75B6FF59" w14:textId="17F54A7C" w:rsidR="00BF48DB" w:rsidRPr="00BC12AC" w:rsidRDefault="00BF48DB">
      <w:pPr>
        <w:pStyle w:val="FootnoteText"/>
      </w:pPr>
      <w:r>
        <w:rPr>
          <w:rStyle w:val="FootnoteReference"/>
        </w:rPr>
        <w:footnoteRef/>
      </w:r>
      <w:r>
        <w:t xml:space="preserve"> Peters, </w:t>
      </w:r>
      <w:r>
        <w:rPr>
          <w:i/>
        </w:rPr>
        <w:t>supra</w:t>
      </w:r>
      <w:r>
        <w:t xml:space="preserve"> note </w:t>
      </w:r>
      <w:r>
        <w:fldChar w:fldCharType="begin"/>
      </w:r>
      <w:r>
        <w:instrText xml:space="preserve"> NOTEREF _Ref535243078 \h </w:instrText>
      </w:r>
      <w:r>
        <w:fldChar w:fldCharType="separate"/>
      </w:r>
      <w:r>
        <w:t>113</w:t>
      </w:r>
      <w:r>
        <w:fldChar w:fldCharType="end"/>
      </w:r>
      <w:r>
        <w:t>, at 22.</w:t>
      </w:r>
    </w:p>
  </w:footnote>
  <w:footnote w:id="135">
    <w:p w14:paraId="086EFCD6" w14:textId="35BFF832" w:rsidR="00BF48DB" w:rsidRPr="00D637F1" w:rsidRDefault="00BF48DB">
      <w:pPr>
        <w:pStyle w:val="FootnoteText"/>
      </w:pPr>
      <w:r>
        <w:rPr>
          <w:rStyle w:val="FootnoteReference"/>
        </w:rPr>
        <w:footnoteRef/>
      </w:r>
      <w:r>
        <w:t xml:space="preserve"> </w:t>
      </w:r>
      <w:r>
        <w:rPr>
          <w:i/>
        </w:rPr>
        <w:t xml:space="preserve">See, e.g., </w:t>
      </w:r>
      <w:r>
        <w:t xml:space="preserve">Elisa Pellegrino et al., </w:t>
      </w:r>
      <w:r>
        <w:rPr>
          <w:i/>
        </w:rPr>
        <w:t>Impact of Genetically Engineered Maize on Agronomic, Environmental and Toxicological Traits: A Meta-Analysis of 21 Years of Field Data</w:t>
      </w:r>
      <w:r>
        <w:t xml:space="preserve">, 8 </w:t>
      </w:r>
      <w:r>
        <w:rPr>
          <w:smallCaps/>
        </w:rPr>
        <w:t>Sci. Rep.</w:t>
      </w:r>
      <w:r>
        <w:t xml:space="preserve"> 1, 9 (2018); </w:t>
      </w:r>
      <w:bookmarkStart w:id="23" w:name="_Hlk532916681"/>
      <w:r>
        <w:t xml:space="preserve">Alessandro </w:t>
      </w:r>
      <w:proofErr w:type="spellStart"/>
      <w:r>
        <w:t>Nicolia</w:t>
      </w:r>
      <w:proofErr w:type="spellEnd"/>
      <w:r>
        <w:t xml:space="preserve"> et al., </w:t>
      </w:r>
      <w:r>
        <w:rPr>
          <w:i/>
        </w:rPr>
        <w:t>An Overview of the Last 10 Years of Genetically Engineered Crop Safety Research</w:t>
      </w:r>
      <w:r>
        <w:t xml:space="preserve">, 34 </w:t>
      </w:r>
      <w:r>
        <w:rPr>
          <w:smallCaps/>
        </w:rPr>
        <w:t xml:space="preserve">Crit. Rev. Biotech. 77, </w:t>
      </w:r>
      <w:r>
        <w:t>84, 85 (2014)</w:t>
      </w:r>
      <w:bookmarkEnd w:id="23"/>
      <w:r>
        <w:t xml:space="preserve">; </w:t>
      </w:r>
      <w:r>
        <w:rPr>
          <w:smallCaps/>
        </w:rPr>
        <w:t xml:space="preserve">European Comm’n, A Decade of EU-Funded GMO Research </w:t>
      </w:r>
      <w:r>
        <w:t xml:space="preserve">(2001-2010) 18 (2010) (“The main conclusion to be drawn from the efforts of more than 130 research projects, covering a period of more than 25 years of research, and involving more than 500 independent research groups, is that biotechnology, and in particular GMOs, are not </w:t>
      </w:r>
      <w:r w:rsidRPr="00AB6DFB">
        <w:rPr>
          <w:i/>
        </w:rPr>
        <w:t>per se</w:t>
      </w:r>
      <w:r>
        <w:t xml:space="preserve"> more risky than e.g. conventional plant breeding technologies.”). </w:t>
      </w:r>
      <w:r>
        <w:rPr>
          <w:i/>
        </w:rPr>
        <w:t>See also</w:t>
      </w:r>
      <w:r>
        <w:t xml:space="preserve"> Andrew W. Torrance, </w:t>
      </w:r>
      <w:r>
        <w:rPr>
          <w:i/>
        </w:rPr>
        <w:t>Intellectual Property as the Third Dimension of GMO Regulation</w:t>
      </w:r>
      <w:r>
        <w:t xml:space="preserve">, 16 </w:t>
      </w:r>
      <w:r w:rsidRPr="00D637F1">
        <w:rPr>
          <w:smallCaps/>
        </w:rPr>
        <w:t xml:space="preserve">Kan. J.L. &amp; Pub. </w:t>
      </w:r>
      <w:proofErr w:type="spellStart"/>
      <w:r w:rsidRPr="00D637F1">
        <w:rPr>
          <w:smallCaps/>
        </w:rPr>
        <w:t>Pol'y</w:t>
      </w:r>
      <w:proofErr w:type="spellEnd"/>
      <w:r w:rsidRPr="00D637F1">
        <w:t xml:space="preserve"> 257</w:t>
      </w:r>
      <w:r>
        <w:t xml:space="preserve">, 274 (2007); Samantha Ricci, </w:t>
      </w:r>
      <w:r>
        <w:rPr>
          <w:i/>
        </w:rPr>
        <w:t>Illuminating the Dark Act,</w:t>
      </w:r>
      <w:r>
        <w:t xml:space="preserve"> </w:t>
      </w:r>
      <w:r w:rsidRPr="00D637F1">
        <w:t xml:space="preserve">45 </w:t>
      </w:r>
      <w:r w:rsidRPr="00AB6DFB">
        <w:rPr>
          <w:smallCaps/>
        </w:rPr>
        <w:t xml:space="preserve">Hastings Const. L.Q. </w:t>
      </w:r>
      <w:r w:rsidRPr="00D637F1">
        <w:t>623</w:t>
      </w:r>
      <w:r>
        <w:t>, 626 (2018).</w:t>
      </w:r>
    </w:p>
  </w:footnote>
  <w:footnote w:id="136">
    <w:p w14:paraId="24E648D4" w14:textId="4A2204B5" w:rsidR="00BF48DB" w:rsidRPr="00243396" w:rsidRDefault="00BF48DB" w:rsidP="00225342">
      <w:pPr>
        <w:pStyle w:val="FootnoteText"/>
      </w:pPr>
      <w:r>
        <w:rPr>
          <w:rStyle w:val="FootnoteReference"/>
        </w:rPr>
        <w:footnoteRef/>
      </w:r>
      <w:r>
        <w:t xml:space="preserve"> Johan Albrecht, </w:t>
      </w:r>
      <w:r>
        <w:rPr>
          <w:i/>
        </w:rPr>
        <w:t xml:space="preserve">Environmental Issue Entrepreneurship: a Schumpeterian </w:t>
      </w:r>
      <w:r w:rsidRPr="004E4B7D">
        <w:rPr>
          <w:i/>
        </w:rPr>
        <w:t>Perspective</w:t>
      </w:r>
      <w:r>
        <w:t xml:space="preserve">, 34 </w:t>
      </w:r>
      <w:r>
        <w:rPr>
          <w:smallCaps/>
        </w:rPr>
        <w:t xml:space="preserve">Futures </w:t>
      </w:r>
      <w:r>
        <w:t xml:space="preserve">649, </w:t>
      </w:r>
      <w:r w:rsidRPr="004E4B7D">
        <w:t>658</w:t>
      </w:r>
      <w:r>
        <w:t xml:space="preserve"> (2002). The author notes that “[t]he European GMO-moratorium is motivated by this type of interpretation of the principle.” </w:t>
      </w:r>
      <w:r>
        <w:rPr>
          <w:i/>
        </w:rPr>
        <w:t>Id.</w:t>
      </w:r>
    </w:p>
  </w:footnote>
  <w:footnote w:id="137">
    <w:p w14:paraId="1DE57AFD" w14:textId="38372CD9" w:rsidR="00BF48DB" w:rsidRPr="00CC2718" w:rsidRDefault="00BF48DB" w:rsidP="00225342">
      <w:pPr>
        <w:pStyle w:val="FootnoteText"/>
      </w:pPr>
      <w:r>
        <w:rPr>
          <w:rStyle w:val="FootnoteReference"/>
        </w:rPr>
        <w:footnoteRef/>
      </w:r>
      <w:r>
        <w:t xml:space="preserve"> Peters, </w:t>
      </w:r>
      <w:r>
        <w:rPr>
          <w:i/>
        </w:rPr>
        <w:t xml:space="preserve">supra </w:t>
      </w:r>
      <w:r>
        <w:t xml:space="preserve">note </w:t>
      </w:r>
      <w:r>
        <w:fldChar w:fldCharType="begin"/>
      </w:r>
      <w:r>
        <w:instrText xml:space="preserve"> NOTEREF _Ref535243078 \h </w:instrText>
      </w:r>
      <w:r>
        <w:fldChar w:fldCharType="separate"/>
      </w:r>
      <w:r>
        <w:t>113</w:t>
      </w:r>
      <w:r>
        <w:fldChar w:fldCharType="end"/>
      </w:r>
      <w:r>
        <w:t>, at 21.</w:t>
      </w:r>
    </w:p>
  </w:footnote>
  <w:footnote w:id="138">
    <w:p w14:paraId="15D7E79D" w14:textId="58415F1B" w:rsidR="00BF48DB" w:rsidRPr="00147E14" w:rsidRDefault="00BF48DB">
      <w:pPr>
        <w:pStyle w:val="FootnoteText"/>
      </w:pPr>
      <w:r>
        <w:rPr>
          <w:rStyle w:val="FootnoteReference"/>
        </w:rPr>
        <w:footnoteRef/>
      </w:r>
      <w:r>
        <w:t xml:space="preserve"> </w:t>
      </w:r>
      <w:r>
        <w:rPr>
          <w:i/>
        </w:rPr>
        <w:t>See supra</w:t>
      </w:r>
      <w:r>
        <w:t xml:space="preserve"> text accompanying notes </w:t>
      </w:r>
      <w:r>
        <w:fldChar w:fldCharType="begin"/>
      </w:r>
      <w:r>
        <w:instrText xml:space="preserve"> NOTEREF _Ref535242844 </w:instrText>
      </w:r>
      <w:r>
        <w:fldChar w:fldCharType="separate"/>
      </w:r>
      <w:r>
        <w:t>103</w:t>
      </w:r>
      <w:r>
        <w:fldChar w:fldCharType="end"/>
      </w:r>
      <w:r>
        <w:t>-</w:t>
      </w:r>
      <w:r>
        <w:fldChar w:fldCharType="begin"/>
      </w:r>
      <w:r>
        <w:instrText xml:space="preserve"> NOTEREF _Ref535244005 </w:instrText>
      </w:r>
      <w:r>
        <w:fldChar w:fldCharType="separate"/>
      </w:r>
      <w:r>
        <w:t>109</w:t>
      </w:r>
      <w:r>
        <w:fldChar w:fldCharType="end"/>
      </w:r>
      <w:r>
        <w:t>.</w:t>
      </w:r>
    </w:p>
  </w:footnote>
  <w:footnote w:id="139">
    <w:p w14:paraId="698D0053" w14:textId="37C04458" w:rsidR="00BF48DB" w:rsidRPr="00646657" w:rsidRDefault="00BF48DB" w:rsidP="00225342">
      <w:pPr>
        <w:pStyle w:val="FootnoteText"/>
      </w:pPr>
      <w:r>
        <w:rPr>
          <w:rStyle w:val="FootnoteReference"/>
        </w:rPr>
        <w:footnoteRef/>
      </w:r>
      <w:r>
        <w:t xml:space="preserve"> Peters, </w:t>
      </w:r>
      <w:r>
        <w:rPr>
          <w:i/>
        </w:rPr>
        <w:t>supra</w:t>
      </w:r>
      <w:r>
        <w:t xml:space="preserve"> note </w:t>
      </w:r>
      <w:r>
        <w:fldChar w:fldCharType="begin"/>
      </w:r>
      <w:r>
        <w:instrText xml:space="preserve"> NOTEREF _Ref535243078 \h </w:instrText>
      </w:r>
      <w:r>
        <w:fldChar w:fldCharType="separate"/>
      </w:r>
      <w:r>
        <w:t>113</w:t>
      </w:r>
      <w:r>
        <w:fldChar w:fldCharType="end"/>
      </w:r>
      <w:r>
        <w:t xml:space="preserve">, at 21 (quoting Dr. David </w:t>
      </w:r>
      <w:proofErr w:type="spellStart"/>
      <w:r>
        <w:t>Wallinga</w:t>
      </w:r>
      <w:proofErr w:type="spellEnd"/>
      <w:r>
        <w:t xml:space="preserve">, </w:t>
      </w:r>
      <w:r w:rsidRPr="00637835">
        <w:t>physician at the Institute for Agriculture and Trade Policy</w:t>
      </w:r>
      <w:r>
        <w:t>).</w:t>
      </w:r>
    </w:p>
  </w:footnote>
  <w:footnote w:id="140">
    <w:p w14:paraId="6152656A" w14:textId="212BC152" w:rsidR="00BF48DB" w:rsidRPr="00FC0CDD" w:rsidRDefault="00BF48DB" w:rsidP="00E925E7">
      <w:pPr>
        <w:pStyle w:val="FootnoteText"/>
      </w:pPr>
      <w:r>
        <w:rPr>
          <w:rStyle w:val="FootnoteReference"/>
        </w:rPr>
        <w:footnoteRef/>
      </w:r>
      <w:r>
        <w:t xml:space="preserve"> </w:t>
      </w:r>
      <w:r>
        <w:rPr>
          <w:i/>
        </w:rPr>
        <w:t>Id.</w:t>
      </w:r>
      <w:r>
        <w:t xml:space="preserve"> at 21 (emphasis added).</w:t>
      </w:r>
    </w:p>
  </w:footnote>
  <w:footnote w:id="141">
    <w:p w14:paraId="45E9DD9A" w14:textId="2A98FDBF" w:rsidR="00BF48DB" w:rsidRPr="002A046E" w:rsidRDefault="00BF48DB">
      <w:pPr>
        <w:pStyle w:val="FootnoteText"/>
      </w:pPr>
      <w:r>
        <w:rPr>
          <w:rStyle w:val="FootnoteReference"/>
        </w:rPr>
        <w:footnoteRef/>
      </w:r>
      <w:r>
        <w:t xml:space="preserve"> </w:t>
      </w:r>
      <w:r>
        <w:rPr>
          <w:i/>
        </w:rPr>
        <w:t>Id.</w:t>
      </w:r>
    </w:p>
  </w:footnote>
  <w:footnote w:id="142">
    <w:p w14:paraId="3109779D" w14:textId="2D9014A7" w:rsidR="00BF48DB" w:rsidRPr="006F6113" w:rsidRDefault="00BF48DB" w:rsidP="00225342">
      <w:pPr>
        <w:pStyle w:val="FootnoteText"/>
      </w:pPr>
      <w:r>
        <w:rPr>
          <w:rStyle w:val="FootnoteReference"/>
        </w:rPr>
        <w:footnoteRef/>
      </w:r>
      <w:r>
        <w:t xml:space="preserve"> </w:t>
      </w:r>
      <w:r>
        <w:rPr>
          <w:i/>
        </w:rPr>
        <w:t>Id.</w:t>
      </w:r>
    </w:p>
  </w:footnote>
  <w:footnote w:id="143">
    <w:p w14:paraId="533E8F49" w14:textId="6CDCC2D6" w:rsidR="00BF48DB" w:rsidRPr="007F6E6C" w:rsidRDefault="00BF48DB" w:rsidP="00225342">
      <w:pPr>
        <w:pStyle w:val="FootnoteText"/>
      </w:pPr>
      <w:r>
        <w:rPr>
          <w:rStyle w:val="FootnoteReference"/>
        </w:rPr>
        <w:footnoteRef/>
      </w:r>
      <w:r>
        <w:t xml:space="preserve"> </w:t>
      </w:r>
      <w:r>
        <w:rPr>
          <w:i/>
        </w:rPr>
        <w:t>Id.</w:t>
      </w:r>
    </w:p>
  </w:footnote>
  <w:footnote w:id="144">
    <w:p w14:paraId="17E0C212" w14:textId="660AB0B1" w:rsidR="00BF48DB" w:rsidRDefault="00BF48DB" w:rsidP="00CB3233">
      <w:pPr>
        <w:pStyle w:val="FootnoteText"/>
      </w:pPr>
      <w:r>
        <w:rPr>
          <w:rStyle w:val="FootnoteReference"/>
        </w:rPr>
        <w:footnoteRef/>
      </w:r>
      <w:r>
        <w:t xml:space="preserve"> Peters, </w:t>
      </w:r>
      <w:r>
        <w:rPr>
          <w:i/>
        </w:rPr>
        <w:t xml:space="preserve">supra </w:t>
      </w:r>
      <w:r>
        <w:t xml:space="preserve">note </w:t>
      </w:r>
      <w:r>
        <w:fldChar w:fldCharType="begin"/>
      </w:r>
      <w:r>
        <w:instrText xml:space="preserve"> NOTEREF _Ref535243078 \h </w:instrText>
      </w:r>
      <w:r>
        <w:fldChar w:fldCharType="separate"/>
      </w:r>
      <w:r>
        <w:t>113</w:t>
      </w:r>
      <w:r>
        <w:fldChar w:fldCharType="end"/>
      </w:r>
      <w:r>
        <w:t>, at 21</w:t>
      </w:r>
    </w:p>
  </w:footnote>
  <w:footnote w:id="145">
    <w:p w14:paraId="2EE7C6CF" w14:textId="77777777" w:rsidR="00BF48DB" w:rsidRPr="00CC4C05" w:rsidRDefault="00BF48DB" w:rsidP="00CC01C8">
      <w:pPr>
        <w:pStyle w:val="FootnoteText"/>
      </w:pPr>
      <w:r w:rsidRPr="000B6A4A">
        <w:rPr>
          <w:rStyle w:val="FootnoteReference"/>
        </w:rPr>
        <w:footnoteRef/>
      </w:r>
      <w:r w:rsidRPr="000B6A4A">
        <w:t xml:space="preserve"> </w:t>
      </w:r>
      <w:r w:rsidRPr="00E668D0">
        <w:rPr>
          <w:i/>
        </w:rPr>
        <w:t xml:space="preserve">See infra </w:t>
      </w:r>
      <w:r w:rsidRPr="00E668D0">
        <w:t>Part IV.</w:t>
      </w:r>
    </w:p>
  </w:footnote>
  <w:footnote w:id="146">
    <w:p w14:paraId="729F412E" w14:textId="5D04B990" w:rsidR="00BF48DB" w:rsidRPr="00F33AE5" w:rsidRDefault="00BF48DB" w:rsidP="00225342">
      <w:pPr>
        <w:pStyle w:val="FootnoteText"/>
      </w:pPr>
      <w:r>
        <w:rPr>
          <w:rStyle w:val="FootnoteReference"/>
        </w:rPr>
        <w:footnoteRef/>
      </w:r>
      <w:r>
        <w:t xml:space="preserve"> Renee </w:t>
      </w:r>
      <w:proofErr w:type="spellStart"/>
      <w:r>
        <w:t>Dufault</w:t>
      </w:r>
      <w:proofErr w:type="spellEnd"/>
      <w:r>
        <w:t xml:space="preserve">, </w:t>
      </w:r>
      <w:r w:rsidRPr="00667909">
        <w:rPr>
          <w:i/>
        </w:rPr>
        <w:t xml:space="preserve">Study Links </w:t>
      </w:r>
      <w:r>
        <w:rPr>
          <w:i/>
        </w:rPr>
        <w:t>A</w:t>
      </w:r>
      <w:r w:rsidRPr="00667909">
        <w:rPr>
          <w:i/>
        </w:rPr>
        <w:t xml:space="preserve">utism </w:t>
      </w:r>
      <w:r>
        <w:rPr>
          <w:i/>
        </w:rPr>
        <w:t>w</w:t>
      </w:r>
      <w:r w:rsidRPr="00667909">
        <w:rPr>
          <w:i/>
        </w:rPr>
        <w:t>ith Industrial Food, Environment</w:t>
      </w:r>
      <w:r>
        <w:t xml:space="preserve">, </w:t>
      </w:r>
      <w:r>
        <w:rPr>
          <w:smallCaps/>
        </w:rPr>
        <w:t xml:space="preserve">Inst. Agric. &amp; Trade </w:t>
      </w:r>
      <w:proofErr w:type="spellStart"/>
      <w:r>
        <w:rPr>
          <w:smallCaps/>
        </w:rPr>
        <w:t>Pol’y</w:t>
      </w:r>
      <w:proofErr w:type="spellEnd"/>
      <w:r>
        <w:t xml:space="preserve"> (Apr. 11, 2012), </w:t>
      </w:r>
      <w:r w:rsidRPr="00667909">
        <w:t>https://www.iatp.org/documents/study-links-autism-with-industrial-food-environment</w:t>
      </w:r>
      <w:r>
        <w:t xml:space="preserve"> [hereinafter Press Release]. The publication was simultaneously issued as a press release in PDF form. </w:t>
      </w:r>
      <w:r w:rsidRPr="000B6A4A">
        <w:t xml:space="preserve">Katie Rojas-Jahn &amp; Renee </w:t>
      </w:r>
      <w:proofErr w:type="spellStart"/>
      <w:r w:rsidRPr="000B6A4A">
        <w:t>Dufault</w:t>
      </w:r>
      <w:proofErr w:type="spellEnd"/>
      <w:r w:rsidRPr="000B6A4A">
        <w:t>, Press Release, Ins</w:t>
      </w:r>
      <w:r>
        <w:t>t.</w:t>
      </w:r>
      <w:r w:rsidRPr="000B6A4A">
        <w:t xml:space="preserve"> Agric</w:t>
      </w:r>
      <w:r>
        <w:t>.</w:t>
      </w:r>
      <w:r w:rsidRPr="000B6A4A">
        <w:t xml:space="preserve"> </w:t>
      </w:r>
      <w:r>
        <w:t>&amp;</w:t>
      </w:r>
      <w:r w:rsidRPr="000B6A4A">
        <w:t xml:space="preserve">Trade </w:t>
      </w:r>
      <w:proofErr w:type="spellStart"/>
      <w:r w:rsidRPr="000B6A4A">
        <w:t>Pol</w:t>
      </w:r>
      <w:r>
        <w:t>’</w:t>
      </w:r>
      <w:r w:rsidRPr="000B6A4A">
        <w:t>y</w:t>
      </w:r>
      <w:proofErr w:type="spellEnd"/>
      <w:r w:rsidRPr="000B6A4A">
        <w:t xml:space="preserve">, </w:t>
      </w:r>
      <w:r w:rsidRPr="005D1B56">
        <w:rPr>
          <w:i/>
        </w:rPr>
        <w:t xml:space="preserve">Study Links </w:t>
      </w:r>
      <w:r w:rsidRPr="007F38AF">
        <w:rPr>
          <w:i/>
        </w:rPr>
        <w:t>A</w:t>
      </w:r>
      <w:r w:rsidRPr="005D1B56">
        <w:rPr>
          <w:i/>
        </w:rPr>
        <w:t xml:space="preserve">utism </w:t>
      </w:r>
      <w:r w:rsidRPr="007F38AF">
        <w:rPr>
          <w:i/>
        </w:rPr>
        <w:t>w</w:t>
      </w:r>
      <w:r w:rsidRPr="005D1B56">
        <w:rPr>
          <w:i/>
        </w:rPr>
        <w:t xml:space="preserve">ith Industrial Food, Environment </w:t>
      </w:r>
      <w:r w:rsidRPr="000B6A4A">
        <w:t>(Apr. 11, 2012), https://www.iatp.org/sites/default/files/2012_04_011_macropigenetics_0.pdf [hereinafter Press Release].</w:t>
      </w:r>
    </w:p>
  </w:footnote>
  <w:footnote w:id="147">
    <w:p w14:paraId="629470D4" w14:textId="7A676EBE" w:rsidR="00BF48DB" w:rsidRDefault="00BF48DB" w:rsidP="00225342">
      <w:pPr>
        <w:pStyle w:val="FootnoteText"/>
      </w:pPr>
      <w:r>
        <w:rPr>
          <w:rStyle w:val="FootnoteReference"/>
        </w:rPr>
        <w:footnoteRef/>
      </w:r>
      <w:r>
        <w:t xml:space="preserve"> </w:t>
      </w:r>
      <w:r w:rsidRPr="00842682">
        <w:rPr>
          <w:rFonts w:cs="Times New Roman (Body CS)"/>
          <w:i/>
        </w:rPr>
        <w:t>About IATP: Mission Statement</w:t>
      </w:r>
      <w:r>
        <w:rPr>
          <w:smallCaps/>
        </w:rPr>
        <w:t xml:space="preserve">, </w:t>
      </w:r>
      <w:r w:rsidRPr="00CC16A9">
        <w:rPr>
          <w:smallCaps/>
        </w:rPr>
        <w:t>Inst</w:t>
      </w:r>
      <w:r>
        <w:rPr>
          <w:smallCaps/>
        </w:rPr>
        <w:t>.</w:t>
      </w:r>
      <w:r w:rsidRPr="00CC16A9">
        <w:rPr>
          <w:smallCaps/>
        </w:rPr>
        <w:t xml:space="preserve"> Agr</w:t>
      </w:r>
      <w:r>
        <w:rPr>
          <w:smallCaps/>
        </w:rPr>
        <w:t>ic.</w:t>
      </w:r>
      <w:r w:rsidRPr="00CC16A9">
        <w:rPr>
          <w:smallCaps/>
        </w:rPr>
        <w:t xml:space="preserve"> &amp; Trade </w:t>
      </w:r>
      <w:proofErr w:type="spellStart"/>
      <w:r w:rsidRPr="00CC16A9">
        <w:rPr>
          <w:smallCaps/>
        </w:rPr>
        <w:t>Pol</w:t>
      </w:r>
      <w:r>
        <w:rPr>
          <w:smallCaps/>
        </w:rPr>
        <w:t>’</w:t>
      </w:r>
      <w:r w:rsidRPr="00CC16A9">
        <w:rPr>
          <w:smallCaps/>
        </w:rPr>
        <w:t>y</w:t>
      </w:r>
      <w:proofErr w:type="spellEnd"/>
      <w:r w:rsidRPr="00CC16A9">
        <w:rPr>
          <w:smallCaps/>
        </w:rPr>
        <w:t xml:space="preserve">, </w:t>
      </w:r>
      <w:r w:rsidRPr="005A5DFD">
        <w:t>https://www.iatp.org/about</w:t>
      </w:r>
      <w:r>
        <w:t>.</w:t>
      </w:r>
    </w:p>
  </w:footnote>
  <w:footnote w:id="148">
    <w:p w14:paraId="293AE067" w14:textId="6D106170" w:rsidR="00BF48DB" w:rsidRPr="00DC38C5" w:rsidRDefault="00BF48DB" w:rsidP="00225342">
      <w:pPr>
        <w:pStyle w:val="FootnoteText"/>
      </w:pPr>
      <w:r>
        <w:rPr>
          <w:rStyle w:val="FootnoteReference"/>
        </w:rPr>
        <w:footnoteRef/>
      </w:r>
      <w:r>
        <w:t xml:space="preserve"> Press Release, </w:t>
      </w:r>
      <w:r>
        <w:rPr>
          <w:i/>
        </w:rPr>
        <w:t>supra</w:t>
      </w:r>
      <w:r>
        <w:t xml:space="preserve"> note </w:t>
      </w:r>
      <w:r>
        <w:fldChar w:fldCharType="begin"/>
      </w:r>
      <w:r>
        <w:instrText xml:space="preserve"> NOTEREF _Ref535244841 \h </w:instrText>
      </w:r>
      <w:r>
        <w:fldChar w:fldCharType="separate"/>
      </w:r>
      <w:r>
        <w:t>145</w:t>
      </w:r>
      <w:r>
        <w:fldChar w:fldCharType="end"/>
      </w:r>
      <w:r>
        <w:t>.</w:t>
      </w:r>
    </w:p>
  </w:footnote>
  <w:footnote w:id="149">
    <w:p w14:paraId="52BF90FB" w14:textId="77777777" w:rsidR="00BF48DB" w:rsidRPr="008D4036" w:rsidRDefault="00BF48DB" w:rsidP="00225342">
      <w:pPr>
        <w:pStyle w:val="FootnoteText"/>
      </w:pPr>
      <w:r>
        <w:rPr>
          <w:rStyle w:val="FootnoteReference"/>
        </w:rPr>
        <w:footnoteRef/>
      </w:r>
      <w:r>
        <w:t xml:space="preserve"> </w:t>
      </w:r>
      <w:r>
        <w:rPr>
          <w:i/>
        </w:rPr>
        <w:t>Id.</w:t>
      </w:r>
    </w:p>
  </w:footnote>
  <w:footnote w:id="150">
    <w:p w14:paraId="1A29C48D" w14:textId="77777777" w:rsidR="00BF48DB" w:rsidRPr="00F626BE" w:rsidRDefault="00BF48DB" w:rsidP="00225342">
      <w:pPr>
        <w:pStyle w:val="FootnoteText"/>
      </w:pPr>
      <w:r>
        <w:rPr>
          <w:rStyle w:val="FootnoteReference"/>
        </w:rPr>
        <w:footnoteRef/>
      </w:r>
      <w:r>
        <w:t xml:space="preserve"> </w:t>
      </w:r>
      <w:r>
        <w:rPr>
          <w:i/>
        </w:rPr>
        <w:t>Id.</w:t>
      </w:r>
    </w:p>
  </w:footnote>
  <w:footnote w:id="151">
    <w:p w14:paraId="7E58E873" w14:textId="77777777" w:rsidR="00BF48DB" w:rsidRPr="005D202B" w:rsidRDefault="00BF48DB" w:rsidP="0041382A">
      <w:pPr>
        <w:pStyle w:val="FootnoteText"/>
      </w:pPr>
      <w:r>
        <w:rPr>
          <w:rStyle w:val="FootnoteReference"/>
        </w:rPr>
        <w:footnoteRef/>
      </w:r>
      <w:r>
        <w:t xml:space="preserve"> </w:t>
      </w:r>
      <w:r>
        <w:rPr>
          <w:i/>
        </w:rPr>
        <w:t>Id.</w:t>
      </w:r>
    </w:p>
  </w:footnote>
  <w:footnote w:id="152">
    <w:p w14:paraId="1CF79832" w14:textId="77777777" w:rsidR="00BF48DB" w:rsidRPr="0020197F" w:rsidRDefault="00BF48DB" w:rsidP="00225342">
      <w:pPr>
        <w:pStyle w:val="FootnoteText"/>
      </w:pPr>
      <w:r>
        <w:rPr>
          <w:rStyle w:val="FootnoteReference"/>
        </w:rPr>
        <w:footnoteRef/>
      </w:r>
      <w:r>
        <w:t xml:space="preserve"> </w:t>
      </w:r>
      <w:r>
        <w:rPr>
          <w:i/>
        </w:rPr>
        <w:t>Id.</w:t>
      </w:r>
    </w:p>
  </w:footnote>
  <w:footnote w:id="153">
    <w:p w14:paraId="61967806" w14:textId="77777777" w:rsidR="00BF48DB" w:rsidRPr="0020197F" w:rsidRDefault="00BF48DB" w:rsidP="00225342">
      <w:pPr>
        <w:pStyle w:val="FootnoteText"/>
      </w:pPr>
      <w:r>
        <w:rPr>
          <w:rStyle w:val="FootnoteReference"/>
        </w:rPr>
        <w:footnoteRef/>
      </w:r>
      <w:r>
        <w:t xml:space="preserve"> </w:t>
      </w:r>
      <w:r>
        <w:rPr>
          <w:i/>
        </w:rPr>
        <w:t>Id.</w:t>
      </w:r>
    </w:p>
  </w:footnote>
  <w:footnote w:id="154">
    <w:p w14:paraId="678232D0" w14:textId="2876ED9D" w:rsidR="00BF48DB" w:rsidRPr="00944D33" w:rsidRDefault="00BF48DB" w:rsidP="0041382A">
      <w:pPr>
        <w:pStyle w:val="FootnoteText"/>
      </w:pPr>
      <w:r>
        <w:rPr>
          <w:rStyle w:val="FootnoteReference"/>
        </w:rPr>
        <w:footnoteRef/>
      </w:r>
      <w:r>
        <w:t xml:space="preserve"> </w:t>
      </w:r>
      <w:r w:rsidRPr="00944D33">
        <w:t>Bleske-Rechek</w:t>
      </w:r>
      <w:r>
        <w:t xml:space="preserve">, </w:t>
      </w:r>
      <w:r>
        <w:rPr>
          <w:i/>
        </w:rPr>
        <w:t>supra</w:t>
      </w:r>
      <w:r>
        <w:t xml:space="preserve"> note </w:t>
      </w:r>
      <w:r>
        <w:fldChar w:fldCharType="begin"/>
      </w:r>
      <w:r>
        <w:instrText xml:space="preserve"> NOTEREF _Ref535242824 \h </w:instrText>
      </w:r>
      <w:r>
        <w:fldChar w:fldCharType="separate"/>
      </w:r>
      <w:r>
        <w:t>104</w:t>
      </w:r>
      <w:r>
        <w:fldChar w:fldCharType="end"/>
      </w:r>
      <w:r>
        <w:t>, at 68.</w:t>
      </w:r>
    </w:p>
  </w:footnote>
  <w:footnote w:id="155">
    <w:p w14:paraId="08E43D7E" w14:textId="77777777" w:rsidR="00BF48DB" w:rsidRPr="007F09AA" w:rsidRDefault="00BF48DB" w:rsidP="0041382A">
      <w:pPr>
        <w:pStyle w:val="FootnoteText"/>
      </w:pPr>
      <w:r>
        <w:rPr>
          <w:rStyle w:val="FootnoteReference"/>
        </w:rPr>
        <w:footnoteRef/>
      </w:r>
      <w:r>
        <w:t xml:space="preserve"> </w:t>
      </w:r>
      <w:r>
        <w:rPr>
          <w:i/>
        </w:rPr>
        <w:t>See</w:t>
      </w:r>
      <w:r>
        <w:t xml:space="preserve"> Peter Tillers, </w:t>
      </w:r>
      <w:r>
        <w:rPr>
          <w:i/>
        </w:rPr>
        <w:t xml:space="preserve">Intellectual History, Probability, and </w:t>
      </w:r>
      <w:r w:rsidRPr="007F09AA">
        <w:rPr>
          <w:i/>
        </w:rPr>
        <w:t>Evidence</w:t>
      </w:r>
      <w:r>
        <w:t xml:space="preserve">, 91 </w:t>
      </w:r>
      <w:r>
        <w:rPr>
          <w:smallCaps/>
        </w:rPr>
        <w:t>Mich. L. Rev.</w:t>
      </w:r>
      <w:r>
        <w:t xml:space="preserve"> 1465, </w:t>
      </w:r>
      <w:r w:rsidRPr="007F09AA">
        <w:t>1485</w:t>
      </w:r>
      <w:r>
        <w:t xml:space="preserve"> (1993). </w:t>
      </w:r>
    </w:p>
  </w:footnote>
  <w:footnote w:id="156">
    <w:p w14:paraId="3717BBC7" w14:textId="42A25C2F" w:rsidR="00BF48DB" w:rsidRPr="002D2DF0" w:rsidRDefault="00BF48DB" w:rsidP="0041382A">
      <w:pPr>
        <w:pStyle w:val="FootnoteText"/>
      </w:pPr>
      <w:r>
        <w:rPr>
          <w:rStyle w:val="FootnoteReference"/>
        </w:rPr>
        <w:footnoteRef/>
      </w:r>
      <w:r>
        <w:t xml:space="preserve"> Tia Ghose, </w:t>
      </w:r>
      <w:r>
        <w:rPr>
          <w:i/>
        </w:rPr>
        <w:t>“Just a Theory”: 7 Misused Science Words</w:t>
      </w:r>
      <w:r>
        <w:t xml:space="preserve">, </w:t>
      </w:r>
      <w:r>
        <w:rPr>
          <w:smallCaps/>
        </w:rPr>
        <w:t>Sci. Am</w:t>
      </w:r>
      <w:r>
        <w:t xml:space="preserve">, Apr. 2, 2013, </w:t>
      </w:r>
      <w:r w:rsidRPr="002D2DF0">
        <w:t>https://www.scientificamerican.com/article/just-a-theory-7-misused-science-words/</w:t>
      </w:r>
      <w:r>
        <w:t>.</w:t>
      </w:r>
    </w:p>
  </w:footnote>
  <w:footnote w:id="157">
    <w:p w14:paraId="248B9331" w14:textId="77777777" w:rsidR="00BF48DB" w:rsidRPr="004B7689" w:rsidRDefault="00BF48DB" w:rsidP="0041382A">
      <w:pPr>
        <w:pStyle w:val="FootnoteText"/>
      </w:pPr>
      <w:r>
        <w:rPr>
          <w:rStyle w:val="FootnoteReference"/>
        </w:rPr>
        <w:footnoteRef/>
      </w:r>
      <w:r>
        <w:t xml:space="preserve"> </w:t>
      </w:r>
      <w:r>
        <w:rPr>
          <w:i/>
        </w:rPr>
        <w:t>Id.</w:t>
      </w:r>
    </w:p>
  </w:footnote>
  <w:footnote w:id="158">
    <w:p w14:paraId="199A86BC" w14:textId="77777777" w:rsidR="00BF48DB" w:rsidRPr="00791B72" w:rsidRDefault="00BF48DB" w:rsidP="0041382A">
      <w:pPr>
        <w:pStyle w:val="FootnoteText"/>
      </w:pPr>
      <w:r>
        <w:rPr>
          <w:rStyle w:val="FootnoteReference"/>
        </w:rPr>
        <w:footnoteRef/>
      </w:r>
      <w:r>
        <w:t xml:space="preserve"> </w:t>
      </w:r>
      <w:r>
        <w:rPr>
          <w:i/>
        </w:rPr>
        <w:t>Id.</w:t>
      </w:r>
    </w:p>
  </w:footnote>
  <w:footnote w:id="159">
    <w:p w14:paraId="1071CF14" w14:textId="1046F6C3" w:rsidR="00BF48DB" w:rsidRDefault="00BF48DB" w:rsidP="004A649E">
      <w:pPr>
        <w:pStyle w:val="FootnoteText"/>
      </w:pPr>
      <w:r>
        <w:rPr>
          <w:rStyle w:val="FootnoteReference"/>
        </w:rPr>
        <w:footnoteRef/>
      </w:r>
      <w:r>
        <w:t xml:space="preserve"> </w:t>
      </w:r>
      <w:r w:rsidRPr="004A649E">
        <w:rPr>
          <w:smallCaps/>
        </w:rPr>
        <w:t>Nat’l Acad. Sci., Teaching About Evolution and the Nature of Science</w:t>
      </w:r>
      <w:r>
        <w:t xml:space="preserve"> 56 (1998) (“In scientific terms, ‘theory’ does not mean ‘guess’ or ‘hunch’ as it does in everyday usage. Scientific theories are explanations of natural phenomena built up logically from testable observations and hypotheses.”).</w:t>
      </w:r>
    </w:p>
  </w:footnote>
  <w:footnote w:id="160">
    <w:p w14:paraId="35869DC6" w14:textId="69B76165" w:rsidR="00BF48DB" w:rsidRPr="001966F1" w:rsidRDefault="00BF48DB" w:rsidP="0041382A">
      <w:pPr>
        <w:pStyle w:val="FootnoteText"/>
      </w:pPr>
      <w:r>
        <w:rPr>
          <w:rStyle w:val="FootnoteReference"/>
        </w:rPr>
        <w:footnoteRef/>
      </w:r>
      <w:r>
        <w:t xml:space="preserve"> Ghose, </w:t>
      </w:r>
      <w:r>
        <w:rPr>
          <w:i/>
        </w:rPr>
        <w:t>supra</w:t>
      </w:r>
      <w:r>
        <w:t xml:space="preserve"> note </w:t>
      </w:r>
      <w:r>
        <w:fldChar w:fldCharType="begin"/>
      </w:r>
      <w:r>
        <w:instrText xml:space="preserve"> NOTEREF _Ref535244993 \h </w:instrText>
      </w:r>
      <w:r>
        <w:fldChar w:fldCharType="separate"/>
      </w:r>
      <w:r>
        <w:t>155</w:t>
      </w:r>
      <w:r>
        <w:fldChar w:fldCharType="end"/>
      </w:r>
      <w:r>
        <w:t>.</w:t>
      </w:r>
    </w:p>
  </w:footnote>
  <w:footnote w:id="161">
    <w:p w14:paraId="4453CA55" w14:textId="6298D68B" w:rsidR="00BF48DB" w:rsidRPr="00CC1243" w:rsidRDefault="00BF48DB">
      <w:pPr>
        <w:pStyle w:val="FootnoteText"/>
      </w:pPr>
      <w:r>
        <w:rPr>
          <w:rStyle w:val="FootnoteReference"/>
        </w:rPr>
        <w:footnoteRef/>
      </w:r>
      <w:r>
        <w:t xml:space="preserve"> Maria Konnikova, </w:t>
      </w:r>
      <w:r>
        <w:rPr>
          <w:i/>
        </w:rPr>
        <w:t>How Headlines Change the Way We Think</w:t>
      </w:r>
      <w:r>
        <w:t xml:space="preserve">, </w:t>
      </w:r>
      <w:r>
        <w:rPr>
          <w:smallCaps/>
        </w:rPr>
        <w:t>New Yorker</w:t>
      </w:r>
      <w:r>
        <w:t xml:space="preserve"> (Dec. 17, 2014), </w:t>
      </w:r>
      <w:r w:rsidRPr="00CC1243">
        <w:t>https://www.newyorker.com/science/maria-konnikova/headlines-change-way-think</w:t>
      </w:r>
      <w:r>
        <w:t>.</w:t>
      </w:r>
    </w:p>
  </w:footnote>
  <w:footnote w:id="162">
    <w:p w14:paraId="1375E066" w14:textId="024B17D7" w:rsidR="00BF48DB" w:rsidRPr="00CC1243" w:rsidRDefault="00BF48DB">
      <w:pPr>
        <w:pStyle w:val="FootnoteText"/>
      </w:pPr>
      <w:r>
        <w:rPr>
          <w:rStyle w:val="FootnoteReference"/>
        </w:rPr>
        <w:footnoteRef/>
      </w:r>
      <w:r>
        <w:t xml:space="preserve"> </w:t>
      </w:r>
      <w:r>
        <w:rPr>
          <w:i/>
        </w:rPr>
        <w:t>Id.</w:t>
      </w:r>
    </w:p>
  </w:footnote>
  <w:footnote w:id="163">
    <w:p w14:paraId="71E5863B" w14:textId="0FB6C2E5" w:rsidR="00BF48DB" w:rsidRPr="00CC1243" w:rsidRDefault="00BF48DB">
      <w:pPr>
        <w:pStyle w:val="FootnoteText"/>
      </w:pPr>
      <w:r>
        <w:rPr>
          <w:rStyle w:val="FootnoteReference"/>
        </w:rPr>
        <w:footnoteRef/>
      </w:r>
      <w:r>
        <w:t xml:space="preserve"> </w:t>
      </w:r>
      <w:r>
        <w:rPr>
          <w:i/>
        </w:rPr>
        <w:t>Id.</w:t>
      </w:r>
    </w:p>
  </w:footnote>
  <w:footnote w:id="164">
    <w:p w14:paraId="02C87CBD" w14:textId="77777777" w:rsidR="00BF48DB" w:rsidRDefault="00BF48DB" w:rsidP="00303FE2">
      <w:pPr>
        <w:pStyle w:val="FootnoteText"/>
      </w:pPr>
      <w:r>
        <w:rPr>
          <w:rStyle w:val="FootnoteReference"/>
        </w:rPr>
        <w:footnoteRef/>
      </w:r>
      <w:r>
        <w:t xml:space="preserve"> Ulrich K.H. Ecker, </w:t>
      </w:r>
      <w:r>
        <w:rPr>
          <w:i/>
        </w:rPr>
        <w:t>The Effects of Subtle Misinformation in News Headlines,</w:t>
      </w:r>
      <w:r>
        <w:t xml:space="preserve"> 20 </w:t>
      </w:r>
      <w:r>
        <w:rPr>
          <w:smallCaps/>
        </w:rPr>
        <w:t xml:space="preserve">J. Experimental Psychol. 323, </w:t>
      </w:r>
      <w:r>
        <w:t>333 (2014). Overall, the article found that misleading headlines “affect readers’ memory” and that “readers use</w:t>
      </w:r>
    </w:p>
    <w:p w14:paraId="7CA3B53E" w14:textId="0CDDB935" w:rsidR="00BF48DB" w:rsidRPr="00303FE2" w:rsidRDefault="00BF48DB" w:rsidP="00303FE2">
      <w:pPr>
        <w:pStyle w:val="FootnoteText"/>
      </w:pPr>
      <w:r>
        <w:t xml:space="preserve">available information to constrain further information processing. This means that any incoming evidence will always be weighted and interpreted in light of information already received, and a headline can thus serve to bias processing toward or away from a specific interpretation.” </w:t>
      </w:r>
      <w:r>
        <w:rPr>
          <w:i/>
        </w:rPr>
        <w:t>Id.</w:t>
      </w:r>
      <w:r>
        <w:t xml:space="preserve"> at 332.</w:t>
      </w:r>
    </w:p>
  </w:footnote>
  <w:footnote w:id="165">
    <w:p w14:paraId="146E57BC" w14:textId="3CDFF8C8" w:rsidR="00BF48DB" w:rsidRPr="00303FE2" w:rsidRDefault="00BF48DB">
      <w:pPr>
        <w:pStyle w:val="FootnoteText"/>
      </w:pPr>
      <w:r>
        <w:rPr>
          <w:rStyle w:val="FootnoteReference"/>
        </w:rPr>
        <w:footnoteRef/>
      </w:r>
      <w:r>
        <w:t xml:space="preserve"> </w:t>
      </w:r>
      <w:r>
        <w:rPr>
          <w:i/>
        </w:rPr>
        <w:t>Id</w:t>
      </w:r>
      <w:r>
        <w:t>. at 333.</w:t>
      </w:r>
    </w:p>
  </w:footnote>
  <w:footnote w:id="166">
    <w:p w14:paraId="55C75A98" w14:textId="650498EA" w:rsidR="00BF48DB" w:rsidRDefault="00BF48DB" w:rsidP="00110D65">
      <w:pPr>
        <w:pStyle w:val="FootnoteText"/>
      </w:pPr>
      <w:r>
        <w:rPr>
          <w:rStyle w:val="FootnoteReference"/>
        </w:rPr>
        <w:footnoteRef/>
      </w:r>
      <w:r>
        <w:t xml:space="preserve"> Caitlin Dewey, </w:t>
      </w:r>
      <w:r>
        <w:rPr>
          <w:i/>
        </w:rPr>
        <w:t>6 in 10 of You Will Share this Link Without Reading It, a New, Depressing Study Says</w:t>
      </w:r>
      <w:r>
        <w:t xml:space="preserve">, </w:t>
      </w:r>
      <w:r w:rsidRPr="00E668D0">
        <w:rPr>
          <w:smallCaps/>
        </w:rPr>
        <w:t>Wash. Post</w:t>
      </w:r>
      <w:r>
        <w:t xml:space="preserve"> (June 16, 2016), </w:t>
      </w:r>
      <w:r w:rsidRPr="00D02222">
        <w:t>https://www.washingtonpost.com/news/the-intersect/wp/2016/06/16/six-in-10-of-you-will-share-this-link-without-reading-it-according-to-a-new-and-depressing-study/?utm_term=.bd5c28a1cb10</w:t>
      </w:r>
      <w:r>
        <w:t xml:space="preserve"> (citing Maksym </w:t>
      </w:r>
      <w:proofErr w:type="spellStart"/>
      <w:r>
        <w:t>Gabielkov</w:t>
      </w:r>
      <w:proofErr w:type="spellEnd"/>
      <w:r>
        <w:t xml:space="preserve"> et al., </w:t>
      </w:r>
      <w:r w:rsidRPr="005D1B56">
        <w:rPr>
          <w:i/>
        </w:rPr>
        <w:t xml:space="preserve">Social Clicks: What and Who Gets Read on </w:t>
      </w:r>
      <w:proofErr w:type="gramStart"/>
      <w:r w:rsidRPr="005D1B56">
        <w:rPr>
          <w:i/>
        </w:rPr>
        <w:t>Twitter?</w:t>
      </w:r>
      <w:r>
        <w:t>,</w:t>
      </w:r>
      <w:proofErr w:type="gramEnd"/>
      <w:r>
        <w:t xml:space="preserve"> </w:t>
      </w:r>
      <w:r w:rsidRPr="00A57864">
        <w:rPr>
          <w:smallCaps/>
        </w:rPr>
        <w:t xml:space="preserve">ACM </w:t>
      </w:r>
      <w:proofErr w:type="spellStart"/>
      <w:r w:rsidRPr="00A57864">
        <w:rPr>
          <w:smallCaps/>
        </w:rPr>
        <w:t>Sigmetrics</w:t>
      </w:r>
      <w:proofErr w:type="spellEnd"/>
      <w:r>
        <w:t xml:space="preserve"> (2016), </w:t>
      </w:r>
      <w:r w:rsidRPr="003D3900">
        <w:t>https://hal.inria.fr/hal-01281190/document</w:t>
      </w:r>
      <w:r>
        <w:t>).</w:t>
      </w:r>
    </w:p>
  </w:footnote>
  <w:footnote w:id="167">
    <w:p w14:paraId="04A849F8" w14:textId="5134FA12" w:rsidR="00BF48DB" w:rsidRPr="008C69AC" w:rsidRDefault="00BF48DB">
      <w:pPr>
        <w:pStyle w:val="FootnoteText"/>
      </w:pPr>
      <w:r>
        <w:rPr>
          <w:rStyle w:val="FootnoteReference"/>
        </w:rPr>
        <w:footnoteRef/>
      </w:r>
      <w:r>
        <w:t xml:space="preserve"> </w:t>
      </w:r>
      <w:r>
        <w:rPr>
          <w:i/>
        </w:rPr>
        <w:t>See</w:t>
      </w:r>
      <w:r>
        <w:t xml:space="preserve"> Inger Lassen, </w:t>
      </w:r>
      <w:r>
        <w:rPr>
          <w:i/>
        </w:rPr>
        <w:t xml:space="preserve">Is the Press Release a Genre? A Study of Form and </w:t>
      </w:r>
      <w:r w:rsidRPr="00F927C3">
        <w:rPr>
          <w:i/>
        </w:rPr>
        <w:t>Content</w:t>
      </w:r>
      <w:r>
        <w:t xml:space="preserve">, 8 </w:t>
      </w:r>
      <w:r>
        <w:rPr>
          <w:smallCaps/>
        </w:rPr>
        <w:t xml:space="preserve">Discourse </w:t>
      </w:r>
      <w:proofErr w:type="gramStart"/>
      <w:r>
        <w:rPr>
          <w:smallCaps/>
        </w:rPr>
        <w:t>Stud</w:t>
      </w:r>
      <w:proofErr w:type="gramEnd"/>
      <w:r>
        <w:rPr>
          <w:smallCaps/>
        </w:rPr>
        <w:t xml:space="preserve">. </w:t>
      </w:r>
      <w:r>
        <w:t>503, 506 (2006) (describing a press release as a “media-channel”).</w:t>
      </w:r>
    </w:p>
  </w:footnote>
  <w:footnote w:id="168">
    <w:p w14:paraId="43B2301B" w14:textId="7DCC72FA" w:rsidR="00BF48DB" w:rsidRPr="00E05226" w:rsidRDefault="00BF48DB" w:rsidP="00742B0D">
      <w:pPr>
        <w:pStyle w:val="FootnoteText"/>
      </w:pPr>
      <w:r>
        <w:rPr>
          <w:rStyle w:val="FootnoteReference"/>
        </w:rPr>
        <w:footnoteRef/>
      </w:r>
      <w:r>
        <w:t xml:space="preserve"> </w:t>
      </w:r>
      <w:r>
        <w:rPr>
          <w:i/>
        </w:rPr>
        <w:t>See, e.g.,</w:t>
      </w:r>
      <w:r>
        <w:t xml:space="preserve"> Philip Ball, </w:t>
      </w:r>
      <w:r>
        <w:rPr>
          <w:i/>
        </w:rPr>
        <w:t>It’s Not Just You: Science Papers are Getting Harder to Read</w:t>
      </w:r>
      <w:r>
        <w:t xml:space="preserve">, </w:t>
      </w:r>
      <w:r>
        <w:rPr>
          <w:smallCaps/>
        </w:rPr>
        <w:t>Nature (Muse)</w:t>
      </w:r>
      <w:r>
        <w:t xml:space="preserve"> (Mar. 30, 2017), </w:t>
      </w:r>
      <w:r w:rsidRPr="00111139">
        <w:t>https://www.nature.com/news/it-s-not-just-you-science-papers-are-getting-harder-to-read-1.21751</w:t>
      </w:r>
      <w:r>
        <w:t xml:space="preserve"> (citing </w:t>
      </w:r>
      <w:r w:rsidRPr="00E668D0">
        <w:t xml:space="preserve">Pontus </w:t>
      </w:r>
      <w:proofErr w:type="spellStart"/>
      <w:r w:rsidRPr="00E668D0">
        <w:t>Plavén-Sigray</w:t>
      </w:r>
      <w:proofErr w:type="spellEnd"/>
      <w:r w:rsidRPr="00E668D0">
        <w:t xml:space="preserve"> et al., </w:t>
      </w:r>
      <w:r w:rsidRPr="00E668D0">
        <w:rPr>
          <w:i/>
        </w:rPr>
        <w:t>The Readability of Scientific Texts is Decreasing Over Time</w:t>
      </w:r>
      <w:r w:rsidRPr="00E668D0">
        <w:t xml:space="preserve">, </w:t>
      </w:r>
      <w:proofErr w:type="spellStart"/>
      <w:r w:rsidRPr="00E668D0">
        <w:rPr>
          <w:smallCaps/>
        </w:rPr>
        <w:t>eLife</w:t>
      </w:r>
      <w:proofErr w:type="spellEnd"/>
      <w:r>
        <w:t xml:space="preserve"> (</w:t>
      </w:r>
      <w:r w:rsidRPr="00E668D0">
        <w:t>Mar</w:t>
      </w:r>
      <w:r>
        <w:t>.</w:t>
      </w:r>
      <w:r w:rsidRPr="00E668D0">
        <w:t xml:space="preserve"> 28, 2017</w:t>
      </w:r>
      <w:r>
        <w:t>)</w:t>
      </w:r>
      <w:r w:rsidRPr="00E668D0">
        <w:t>, https://www.biorxiv.org/content/early/2017/03/28/119370.article-info</w:t>
      </w:r>
      <w:r>
        <w:t>).</w:t>
      </w:r>
    </w:p>
  </w:footnote>
  <w:footnote w:id="169">
    <w:p w14:paraId="25EC628A" w14:textId="77777777" w:rsidR="00BF48DB" w:rsidRPr="003D1AE9" w:rsidRDefault="00BF48DB" w:rsidP="00742B0D">
      <w:pPr>
        <w:pStyle w:val="FootnoteText"/>
      </w:pPr>
      <w:r>
        <w:rPr>
          <w:rStyle w:val="FootnoteReference"/>
        </w:rPr>
        <w:footnoteRef/>
      </w:r>
      <w:r>
        <w:t xml:space="preserve"> </w:t>
      </w:r>
      <w:r>
        <w:rPr>
          <w:i/>
        </w:rPr>
        <w:t>See, e.g.,</w:t>
      </w:r>
      <w:r>
        <w:t xml:space="preserve"> D.T. McAllister, </w:t>
      </w:r>
      <w:r>
        <w:rPr>
          <w:i/>
        </w:rPr>
        <w:t xml:space="preserve">Is There Accepted Scientific </w:t>
      </w:r>
      <w:proofErr w:type="gramStart"/>
      <w:r>
        <w:rPr>
          <w:i/>
        </w:rPr>
        <w:t>Jargon?</w:t>
      </w:r>
      <w:r>
        <w:t>,</w:t>
      </w:r>
      <w:proofErr w:type="gramEnd"/>
      <w:r>
        <w:t xml:space="preserve"> </w:t>
      </w:r>
      <w:r>
        <w:rPr>
          <w:smallCaps/>
        </w:rPr>
        <w:t>121 Nature</w:t>
      </w:r>
      <w:r>
        <w:t xml:space="preserve"> 530, 531 (1955) (examining the challenges of stating scientific concepts in standard English).</w:t>
      </w:r>
    </w:p>
  </w:footnote>
  <w:footnote w:id="170">
    <w:p w14:paraId="23BD43D5" w14:textId="387D2BD8" w:rsidR="00BF48DB" w:rsidRPr="00252ADC" w:rsidRDefault="00BF48DB">
      <w:pPr>
        <w:pStyle w:val="FootnoteText"/>
      </w:pPr>
      <w:r>
        <w:rPr>
          <w:rStyle w:val="FootnoteReference"/>
        </w:rPr>
        <w:footnoteRef/>
      </w:r>
      <w:r>
        <w:t xml:space="preserve"> </w:t>
      </w:r>
      <w:r>
        <w:rPr>
          <w:i/>
        </w:rPr>
        <w:t xml:space="preserve">See </w:t>
      </w:r>
      <w:r>
        <w:t xml:space="preserve">Miriam </w:t>
      </w:r>
      <w:proofErr w:type="spellStart"/>
      <w:r>
        <w:t>Shuchman</w:t>
      </w:r>
      <w:proofErr w:type="spellEnd"/>
      <w:r>
        <w:t xml:space="preserve"> &amp; Michael S. Wilkes, </w:t>
      </w:r>
      <w:r>
        <w:rPr>
          <w:i/>
        </w:rPr>
        <w:t>Medial Science and Health News Reporters: A Case of Miscommunication</w:t>
      </w:r>
      <w:r>
        <w:t xml:space="preserve">, 126 </w:t>
      </w:r>
      <w:r>
        <w:rPr>
          <w:smallCaps/>
        </w:rPr>
        <w:t>Annals Internal Med.</w:t>
      </w:r>
      <w:r>
        <w:t xml:space="preserve"> 976, 980-81 (1997).</w:t>
      </w:r>
    </w:p>
  </w:footnote>
  <w:footnote w:id="171">
    <w:p w14:paraId="781E0C19" w14:textId="2763E96B" w:rsidR="00BF48DB" w:rsidRDefault="00BF48DB">
      <w:pPr>
        <w:pStyle w:val="FootnoteText"/>
      </w:pPr>
      <w:r>
        <w:rPr>
          <w:rStyle w:val="FootnoteReference"/>
        </w:rPr>
        <w:footnoteRef/>
      </w:r>
      <w:r>
        <w:t xml:space="preserve"> Press Release, </w:t>
      </w:r>
      <w:r>
        <w:rPr>
          <w:i/>
        </w:rPr>
        <w:t>supra</w:t>
      </w:r>
      <w:r>
        <w:t xml:space="preserve"> note </w:t>
      </w:r>
      <w:r>
        <w:fldChar w:fldCharType="begin"/>
      </w:r>
      <w:r>
        <w:instrText xml:space="preserve"> NOTEREF _Ref535244841 \h </w:instrText>
      </w:r>
      <w:r>
        <w:fldChar w:fldCharType="separate"/>
      </w:r>
      <w:r>
        <w:t>145</w:t>
      </w:r>
      <w:r>
        <w:fldChar w:fldCharType="end"/>
      </w:r>
      <w:r>
        <w:t>.</w:t>
      </w:r>
    </w:p>
  </w:footnote>
  <w:footnote w:id="172">
    <w:p w14:paraId="6487716B" w14:textId="126CE25A" w:rsidR="00BF48DB" w:rsidRPr="00667909" w:rsidRDefault="00BF48DB" w:rsidP="00225342">
      <w:pPr>
        <w:pStyle w:val="FootnoteText"/>
      </w:pPr>
      <w:r>
        <w:rPr>
          <w:rStyle w:val="FootnoteReference"/>
        </w:rPr>
        <w:footnoteRef/>
      </w:r>
      <w:r>
        <w:t xml:space="preserve"> </w:t>
      </w:r>
      <w:r>
        <w:rPr>
          <w:i/>
        </w:rPr>
        <w:t>Id.</w:t>
      </w:r>
    </w:p>
  </w:footnote>
  <w:footnote w:id="173">
    <w:p w14:paraId="3B16FDA6" w14:textId="3EFE6671" w:rsidR="00BF48DB" w:rsidRPr="00E32C28" w:rsidRDefault="00BF48DB" w:rsidP="00225342">
      <w:pPr>
        <w:pStyle w:val="FootnoteText"/>
      </w:pPr>
      <w:r>
        <w:rPr>
          <w:rStyle w:val="FootnoteReference"/>
        </w:rPr>
        <w:footnoteRef/>
      </w:r>
      <w:r>
        <w:t xml:space="preserve"> Adam C. Schlosser, </w:t>
      </w:r>
      <w:r>
        <w:rPr>
          <w:i/>
        </w:rPr>
        <w:t>A Healthy Diet of Preemption</w:t>
      </w:r>
      <w:r>
        <w:t xml:space="preserve">: </w:t>
      </w:r>
      <w:r>
        <w:rPr>
          <w:i/>
        </w:rPr>
        <w:t>The Power Over the FDA and the Battle Over Restricting High Fructose Corn Syrup from Food and Beverages Labeled ‘Natural’</w:t>
      </w:r>
      <w:r>
        <w:t xml:space="preserve">, </w:t>
      </w:r>
      <w:r w:rsidRPr="00C518B1">
        <w:t xml:space="preserve">5 </w:t>
      </w:r>
      <w:r w:rsidRPr="00D91638">
        <w:rPr>
          <w:smallCaps/>
        </w:rPr>
        <w:t xml:space="preserve">J. Food L. &amp; </w:t>
      </w:r>
      <w:proofErr w:type="spellStart"/>
      <w:r w:rsidRPr="00D91638">
        <w:rPr>
          <w:smallCaps/>
        </w:rPr>
        <w:t>Pol'y</w:t>
      </w:r>
      <w:proofErr w:type="spellEnd"/>
      <w:r w:rsidRPr="00C518B1">
        <w:t xml:space="preserve"> 145</w:t>
      </w:r>
      <w:r>
        <w:t>, 168-69 (2009).</w:t>
      </w:r>
    </w:p>
  </w:footnote>
  <w:footnote w:id="174">
    <w:p w14:paraId="7C0D92BB" w14:textId="77777777" w:rsidR="00BF48DB" w:rsidRPr="00D27732" w:rsidRDefault="00BF48DB" w:rsidP="00225342">
      <w:pPr>
        <w:pStyle w:val="FootnoteText"/>
      </w:pPr>
      <w:r>
        <w:rPr>
          <w:rStyle w:val="FootnoteReference"/>
        </w:rPr>
        <w:footnoteRef/>
      </w:r>
      <w:r>
        <w:t xml:space="preserve"> Emily Broad </w:t>
      </w:r>
      <w:proofErr w:type="spellStart"/>
      <w:r>
        <w:t>Leib</w:t>
      </w:r>
      <w:proofErr w:type="spellEnd"/>
      <w:r>
        <w:t xml:space="preserve">, </w:t>
      </w:r>
      <w:r>
        <w:rPr>
          <w:i/>
        </w:rPr>
        <w:t>The Forgotten Half of Food System Reform: Using Food and Agricultural Law to Foster Healthy Food Production</w:t>
      </w:r>
      <w:r>
        <w:t xml:space="preserve">, </w:t>
      </w:r>
      <w:r w:rsidRPr="00D27732">
        <w:t xml:space="preserve">9 </w:t>
      </w:r>
      <w:r w:rsidRPr="00D27732">
        <w:rPr>
          <w:smallCaps/>
        </w:rPr>
        <w:t xml:space="preserve">J. Food L. &amp; </w:t>
      </w:r>
      <w:proofErr w:type="spellStart"/>
      <w:r w:rsidRPr="00D27732">
        <w:rPr>
          <w:smallCaps/>
        </w:rPr>
        <w:t>Pol'y</w:t>
      </w:r>
      <w:proofErr w:type="spellEnd"/>
      <w:r w:rsidRPr="00D27732">
        <w:t xml:space="preserve"> 17</w:t>
      </w:r>
      <w:r>
        <w:t>,</w:t>
      </w:r>
      <w:r w:rsidRPr="00D27732">
        <w:rPr>
          <w:i/>
        </w:rPr>
        <w:t xml:space="preserve"> </w:t>
      </w:r>
      <w:r>
        <w:t>26 (2013).</w:t>
      </w:r>
    </w:p>
  </w:footnote>
  <w:footnote w:id="175">
    <w:p w14:paraId="2FC31070" w14:textId="7D013609" w:rsidR="00BF48DB" w:rsidRPr="006A7170" w:rsidRDefault="00BF48DB">
      <w:pPr>
        <w:pStyle w:val="FootnoteText"/>
      </w:pPr>
      <w:r>
        <w:rPr>
          <w:rStyle w:val="FootnoteReference"/>
        </w:rPr>
        <w:footnoteRef/>
      </w:r>
      <w:r>
        <w:t xml:space="preserve"> Press Release, </w:t>
      </w:r>
      <w:r>
        <w:rPr>
          <w:i/>
        </w:rPr>
        <w:t>supra</w:t>
      </w:r>
      <w:r>
        <w:t xml:space="preserve"> note </w:t>
      </w:r>
      <w:r>
        <w:fldChar w:fldCharType="begin"/>
      </w:r>
      <w:r>
        <w:instrText xml:space="preserve"> NOTEREF _Ref535244841 \h </w:instrText>
      </w:r>
      <w:r>
        <w:fldChar w:fldCharType="separate"/>
      </w:r>
      <w:r>
        <w:t>145</w:t>
      </w:r>
      <w:r>
        <w:fldChar w:fldCharType="end"/>
      </w:r>
      <w:r>
        <w:t>.</w:t>
      </w:r>
    </w:p>
  </w:footnote>
  <w:footnote w:id="176">
    <w:p w14:paraId="23AB32EB" w14:textId="54A05822" w:rsidR="00BF48DB" w:rsidRPr="00684953" w:rsidRDefault="00BF48DB">
      <w:pPr>
        <w:pStyle w:val="FootnoteText"/>
      </w:pPr>
      <w:r>
        <w:rPr>
          <w:rStyle w:val="FootnoteReference"/>
        </w:rPr>
        <w:footnoteRef/>
      </w:r>
      <w:r>
        <w:t xml:space="preserve"> Iain Taylor et al., </w:t>
      </w:r>
      <w:r w:rsidRPr="00684953">
        <w:rPr>
          <w:i/>
        </w:rPr>
        <w:t>The Author’s Summary: Scientists Making Their Work Accessible</w:t>
      </w:r>
      <w:r>
        <w:t xml:space="preserve">, 31 </w:t>
      </w:r>
      <w:r>
        <w:rPr>
          <w:smallCaps/>
        </w:rPr>
        <w:t>Sci. Editor</w:t>
      </w:r>
      <w:r>
        <w:t xml:space="preserve"> 187, 187 (2008).</w:t>
      </w:r>
    </w:p>
  </w:footnote>
  <w:footnote w:id="177">
    <w:p w14:paraId="6E59C495" w14:textId="6030F8EC" w:rsidR="00BF48DB" w:rsidRPr="00846CEC" w:rsidRDefault="00BF48DB">
      <w:pPr>
        <w:pStyle w:val="FootnoteText"/>
      </w:pPr>
      <w:r>
        <w:rPr>
          <w:rStyle w:val="FootnoteReference"/>
        </w:rPr>
        <w:footnoteRef/>
      </w:r>
      <w:r>
        <w:t xml:space="preserve"> </w:t>
      </w:r>
      <w:r>
        <w:rPr>
          <w:i/>
        </w:rPr>
        <w:t>See, e.g.,</w:t>
      </w:r>
      <w:r>
        <w:t xml:space="preserve"> </w:t>
      </w:r>
      <w:r>
        <w:rPr>
          <w:i/>
        </w:rPr>
        <w:t>Peer Reviewed Study Links Autism to Industrial Food and Environment</w:t>
      </w:r>
      <w:r>
        <w:t xml:space="preserve">, </w:t>
      </w:r>
      <w:r>
        <w:rPr>
          <w:smallCaps/>
        </w:rPr>
        <w:t>Higgins News Network</w:t>
      </w:r>
      <w:r>
        <w:t xml:space="preserve"> (May 15, 2015), </w:t>
      </w:r>
      <w:r w:rsidRPr="00F67DE6">
        <w:t>http://alexanderhiggins.com/peer-reviewed-study-links-autism-to-industrial-food-and-environment/</w:t>
      </w:r>
      <w:r>
        <w:t xml:space="preserve">; Ben </w:t>
      </w:r>
      <w:proofErr w:type="spellStart"/>
      <w:r>
        <w:t>Lilliston</w:t>
      </w:r>
      <w:proofErr w:type="spellEnd"/>
      <w:r>
        <w:t xml:space="preserve">, </w:t>
      </w:r>
      <w:r w:rsidRPr="00846CEC">
        <w:rPr>
          <w:i/>
        </w:rPr>
        <w:t>Study Links Autism with Industrial Food, Environment</w:t>
      </w:r>
      <w:r>
        <w:t xml:space="preserve">, </w:t>
      </w:r>
      <w:r>
        <w:rPr>
          <w:smallCaps/>
        </w:rPr>
        <w:t>Common Dreams</w:t>
      </w:r>
      <w:r>
        <w:t xml:space="preserve"> (Apr. 11, 2012), </w:t>
      </w:r>
      <w:r w:rsidRPr="00846CEC">
        <w:t>https://www.commondreams.org/newswire/2012/04/11/study-links-autism-industrial-food-environment</w:t>
      </w:r>
      <w:r>
        <w:t xml:space="preserve">; </w:t>
      </w:r>
      <w:r w:rsidRPr="00846CEC">
        <w:rPr>
          <w:i/>
        </w:rPr>
        <w:t>Study Links Autism with Industrial Food, Environment</w:t>
      </w:r>
      <w:r>
        <w:t xml:space="preserve">, </w:t>
      </w:r>
      <w:r w:rsidRPr="00393629">
        <w:rPr>
          <w:smallCaps/>
        </w:rPr>
        <w:t>Margaret L. Williams Dev</w:t>
      </w:r>
      <w:r w:rsidRPr="007F38AF">
        <w:rPr>
          <w:smallCaps/>
        </w:rPr>
        <w:t>.</w:t>
      </w:r>
      <w:r w:rsidRPr="00B25893">
        <w:rPr>
          <w:smallCaps/>
        </w:rPr>
        <w:t xml:space="preserve"> Educ</w:t>
      </w:r>
      <w:r w:rsidRPr="007F38AF">
        <w:rPr>
          <w:smallCaps/>
        </w:rPr>
        <w:t>.</w:t>
      </w:r>
      <w:r w:rsidRPr="00B25893">
        <w:rPr>
          <w:smallCaps/>
        </w:rPr>
        <w:t xml:space="preserve"> C</w:t>
      </w:r>
      <w:r w:rsidRPr="007F38AF">
        <w:rPr>
          <w:smallCaps/>
        </w:rPr>
        <w:t>ent.</w:t>
      </w:r>
      <w:r>
        <w:t xml:space="preserve"> (Apr. 19, 2012), </w:t>
      </w:r>
      <w:r w:rsidRPr="00667909">
        <w:t>http://autismsyracuse.com/study-links-autism-with-industrial-food-environment/</w:t>
      </w:r>
      <w:r>
        <w:t xml:space="preserve">; Deborah Mitchell, </w:t>
      </w:r>
      <w:r>
        <w:rPr>
          <w:i/>
        </w:rPr>
        <w:t>Is High Fructose Corn Syrup Connected to Autism?</w:t>
      </w:r>
      <w:r>
        <w:t xml:space="preserve">, </w:t>
      </w:r>
      <w:proofErr w:type="spellStart"/>
      <w:r>
        <w:rPr>
          <w:smallCaps/>
        </w:rPr>
        <w:t>NaturallySavvy</w:t>
      </w:r>
      <w:proofErr w:type="spellEnd"/>
      <w:r>
        <w:t xml:space="preserve">, </w:t>
      </w:r>
      <w:hyperlink r:id="rId1" w:history="1">
        <w:r w:rsidRPr="003073B8">
          <w:rPr>
            <w:rStyle w:val="Hyperlink"/>
          </w:rPr>
          <w:t>https://naturallysavvy.com/nest/is-high-fructose-corn-syrup-connected-to-autism/</w:t>
        </w:r>
      </w:hyperlink>
      <w:r>
        <w:t xml:space="preserve"> </w:t>
      </w:r>
      <w:r w:rsidRPr="007F38AF">
        <w:t>(last visited Feb. 1, 2019)</w:t>
      </w:r>
      <w:r w:rsidRPr="00D25985">
        <w:t>;</w:t>
      </w:r>
      <w:r>
        <w:t xml:space="preserve"> </w:t>
      </w:r>
      <w:proofErr w:type="spellStart"/>
      <w:r w:rsidRPr="00E668D0">
        <w:t>Shanya</w:t>
      </w:r>
      <w:proofErr w:type="spellEnd"/>
      <w:r w:rsidRPr="00E668D0">
        <w:t xml:space="preserve"> Brewster, </w:t>
      </w:r>
      <w:r w:rsidRPr="007F38AF">
        <w:rPr>
          <w:i/>
        </w:rPr>
        <w:t xml:space="preserve">Research Paper: </w:t>
      </w:r>
      <w:r w:rsidRPr="00B25893">
        <w:rPr>
          <w:i/>
        </w:rPr>
        <w:t>Food Industrialization and Autism</w:t>
      </w:r>
      <w:r w:rsidRPr="00E668D0">
        <w:t xml:space="preserve">, </w:t>
      </w:r>
      <w:proofErr w:type="spellStart"/>
      <w:r w:rsidRPr="001E276A">
        <w:rPr>
          <w:smallCaps/>
        </w:rPr>
        <w:t>shanyabrewster</w:t>
      </w:r>
      <w:proofErr w:type="spellEnd"/>
      <w:r w:rsidRPr="001E276A">
        <w:rPr>
          <w:smallCaps/>
        </w:rPr>
        <w:t xml:space="preserve"> ~ Eng. Comp. 2089 Writing Portfolio (</w:t>
      </w:r>
      <w:r w:rsidRPr="00D25985">
        <w:rPr>
          <w:rFonts w:cs="Times New Roman (Body CS)"/>
        </w:rPr>
        <w:t>Sept.</w:t>
      </w:r>
      <w:r w:rsidRPr="001E276A">
        <w:rPr>
          <w:smallCaps/>
        </w:rPr>
        <w:t xml:space="preserve"> 9, 2013)</w:t>
      </w:r>
      <w:r>
        <w:rPr>
          <w:smallCaps/>
        </w:rPr>
        <w:t xml:space="preserve"> </w:t>
      </w:r>
      <w:r w:rsidRPr="001E276A">
        <w:rPr>
          <w:smallCaps/>
        </w:rPr>
        <w:t>(</w:t>
      </w:r>
      <w:r w:rsidRPr="001E276A">
        <w:t xml:space="preserve">cited for apparent completion of an </w:t>
      </w:r>
      <w:r>
        <w:t xml:space="preserve">unpublished B.A. </w:t>
      </w:r>
      <w:r w:rsidRPr="001E276A">
        <w:t xml:space="preserve">research paper), </w:t>
      </w:r>
      <w:r w:rsidRPr="00B25893">
        <w:t>https://shanyabrewster.wordpress.com/research-paper-food-industrialization-and-autism/.</w:t>
      </w:r>
    </w:p>
  </w:footnote>
  <w:footnote w:id="178">
    <w:p w14:paraId="2B2A79AC" w14:textId="51CA5F4F" w:rsidR="00BF48DB" w:rsidRPr="00FE618C" w:rsidRDefault="00BF48DB">
      <w:pPr>
        <w:pStyle w:val="FootnoteText"/>
      </w:pPr>
      <w:r>
        <w:rPr>
          <w:rStyle w:val="FootnoteReference"/>
        </w:rPr>
        <w:footnoteRef/>
      </w:r>
      <w:r>
        <w:t xml:space="preserve"> </w:t>
      </w:r>
      <w:r>
        <w:rPr>
          <w:i/>
        </w:rPr>
        <w:t>See</w:t>
      </w:r>
      <w:r>
        <w:t xml:space="preserve"> John Wilkes, </w:t>
      </w:r>
      <w:r>
        <w:rPr>
          <w:i/>
        </w:rPr>
        <w:t>Training Scientists to Be Journalists</w:t>
      </w:r>
      <w:r>
        <w:t xml:space="preserve">, 3 </w:t>
      </w:r>
      <w:r>
        <w:rPr>
          <w:smallCaps/>
        </w:rPr>
        <w:t>EMBO Rep.</w:t>
      </w:r>
      <w:r>
        <w:t xml:space="preserve"> 1005 (2002).</w:t>
      </w:r>
    </w:p>
  </w:footnote>
  <w:footnote w:id="179">
    <w:p w14:paraId="222A491E" w14:textId="21ED75A2" w:rsidR="00BF48DB" w:rsidRPr="006C5A07" w:rsidRDefault="00BF48DB">
      <w:pPr>
        <w:pStyle w:val="FootnoteText"/>
      </w:pPr>
      <w:r>
        <w:rPr>
          <w:rStyle w:val="FootnoteReference"/>
        </w:rPr>
        <w:footnoteRef/>
      </w:r>
      <w:r>
        <w:t xml:space="preserve"> </w:t>
      </w:r>
      <w:r>
        <w:rPr>
          <w:i/>
        </w:rPr>
        <w:t>Id.</w:t>
      </w:r>
      <w:r>
        <w:t xml:space="preserve"> at 1005.</w:t>
      </w:r>
    </w:p>
  </w:footnote>
  <w:footnote w:id="180">
    <w:p w14:paraId="5B239052" w14:textId="0EA7230E" w:rsidR="00BF48DB" w:rsidRPr="006C5A07" w:rsidRDefault="00BF48DB">
      <w:pPr>
        <w:pStyle w:val="FootnoteText"/>
      </w:pPr>
      <w:r>
        <w:rPr>
          <w:rStyle w:val="FootnoteReference"/>
        </w:rPr>
        <w:footnoteRef/>
      </w:r>
      <w:r>
        <w:t xml:space="preserve"> </w:t>
      </w:r>
      <w:r>
        <w:rPr>
          <w:i/>
        </w:rPr>
        <w:t>Id.</w:t>
      </w:r>
    </w:p>
  </w:footnote>
  <w:footnote w:id="181">
    <w:p w14:paraId="6FE24BD6" w14:textId="7DD6D20D" w:rsidR="00BF48DB" w:rsidRPr="006C5A07" w:rsidRDefault="00BF48DB">
      <w:pPr>
        <w:pStyle w:val="FootnoteText"/>
      </w:pPr>
      <w:r>
        <w:rPr>
          <w:rStyle w:val="FootnoteReference"/>
        </w:rPr>
        <w:footnoteRef/>
      </w:r>
      <w:r>
        <w:t xml:space="preserve"> </w:t>
      </w:r>
      <w:r>
        <w:rPr>
          <w:i/>
        </w:rPr>
        <w:t>Id.</w:t>
      </w:r>
    </w:p>
  </w:footnote>
  <w:footnote w:id="182">
    <w:p w14:paraId="766752B0" w14:textId="3107838C" w:rsidR="00BF48DB" w:rsidRPr="0049025D" w:rsidRDefault="00BF48DB" w:rsidP="007C1291">
      <w:pPr>
        <w:pStyle w:val="FootnoteText"/>
      </w:pPr>
      <w:r>
        <w:rPr>
          <w:rStyle w:val="FootnoteReference"/>
        </w:rPr>
        <w:footnoteRef/>
      </w:r>
      <w:r>
        <w:t xml:space="preserve"> </w:t>
      </w:r>
      <w:r>
        <w:rPr>
          <w:i/>
        </w:rPr>
        <w:t xml:space="preserve">See generally </w:t>
      </w:r>
      <w:r>
        <w:t xml:space="preserve">Renee </w:t>
      </w:r>
      <w:proofErr w:type="spellStart"/>
      <w:r>
        <w:t>Dufault</w:t>
      </w:r>
      <w:proofErr w:type="spellEnd"/>
      <w:r>
        <w:t xml:space="preserve"> et al., </w:t>
      </w:r>
      <w:r w:rsidRPr="0049025D">
        <w:rPr>
          <w:i/>
        </w:rPr>
        <w:t xml:space="preserve">A </w:t>
      </w:r>
      <w:proofErr w:type="spellStart"/>
      <w:r w:rsidRPr="0049025D">
        <w:rPr>
          <w:i/>
        </w:rPr>
        <w:t>Macroepigenetic</w:t>
      </w:r>
      <w:proofErr w:type="spellEnd"/>
      <w:r w:rsidRPr="0049025D">
        <w:rPr>
          <w:i/>
        </w:rPr>
        <w:t xml:space="preserve"> Approach to Identify Factors Responsible for the Autism Epidemic in the United States</w:t>
      </w:r>
      <w:r>
        <w:t xml:space="preserve">, 4 </w:t>
      </w:r>
      <w:r>
        <w:rPr>
          <w:smallCaps/>
        </w:rPr>
        <w:t>Clinical Epigenetics 1 (2012).</w:t>
      </w:r>
    </w:p>
  </w:footnote>
  <w:footnote w:id="183">
    <w:p w14:paraId="74DC2FAE" w14:textId="5BB730EA" w:rsidR="00BF48DB" w:rsidRDefault="00BF48DB" w:rsidP="007C1291">
      <w:pPr>
        <w:pStyle w:val="FootnoteText"/>
      </w:pPr>
      <w:r>
        <w:rPr>
          <w:rStyle w:val="FootnoteReference"/>
        </w:rPr>
        <w:footnoteRef/>
      </w:r>
      <w:r>
        <w:t xml:space="preserve"> According to a bio, </w:t>
      </w:r>
      <w:proofErr w:type="spellStart"/>
      <w:r>
        <w:t>Dufault</w:t>
      </w:r>
      <w:proofErr w:type="spellEnd"/>
      <w:r>
        <w:t xml:space="preserve"> left the FDA after she discovered low levels of mercury in HFCS. </w:t>
      </w:r>
      <w:r w:rsidRPr="00D25985">
        <w:rPr>
          <w:i/>
        </w:rPr>
        <w:t xml:space="preserve">Whistleblower Profile: Renee </w:t>
      </w:r>
      <w:proofErr w:type="spellStart"/>
      <w:r w:rsidRPr="00D25985">
        <w:rPr>
          <w:i/>
        </w:rPr>
        <w:t>Dufault</w:t>
      </w:r>
      <w:proofErr w:type="spellEnd"/>
      <w:r>
        <w:t xml:space="preserve">, </w:t>
      </w:r>
      <w:r w:rsidRPr="00D25985">
        <w:rPr>
          <w:rFonts w:cs="Times New Roman (Body CS)"/>
          <w:smallCaps/>
        </w:rPr>
        <w:t>Food Integrity Campaign</w:t>
      </w:r>
      <w:r>
        <w:t xml:space="preserve">, </w:t>
      </w:r>
      <w:r w:rsidRPr="00D202A8">
        <w:t>https://www.foodwhistleblower.org/profile/renee-dufault/</w:t>
      </w:r>
      <w:r>
        <w:t xml:space="preserve"> (last visited Jan. 15, 2019). The bio recalls:</w:t>
      </w:r>
    </w:p>
    <w:p w14:paraId="3E1E2F41" w14:textId="77777777" w:rsidR="00BF48DB" w:rsidRDefault="00BF48DB" w:rsidP="007C1291">
      <w:pPr>
        <w:pStyle w:val="FootnoteText"/>
      </w:pPr>
    </w:p>
    <w:p w14:paraId="2707B2FF" w14:textId="77777777" w:rsidR="00BF48DB" w:rsidRDefault="00BF48DB" w:rsidP="007C1291">
      <w:pPr>
        <w:pStyle w:val="FootnoteText"/>
        <w:ind w:left="720" w:right="720"/>
      </w:pPr>
      <w:proofErr w:type="spellStart"/>
      <w:r w:rsidRPr="00584044">
        <w:t>Dufault</w:t>
      </w:r>
      <w:proofErr w:type="spellEnd"/>
      <w:r w:rsidRPr="00584044">
        <w:t xml:space="preserve"> and her extramural academic colleagues presented some of their preliminary findings to FDA’s Center for Food Safety and Applied Nutrition (CFSAN). According to </w:t>
      </w:r>
      <w:proofErr w:type="spellStart"/>
      <w:r w:rsidRPr="00584044">
        <w:t>Dufault</w:t>
      </w:r>
      <w:proofErr w:type="spellEnd"/>
      <w:r w:rsidRPr="00584044">
        <w:t xml:space="preserve">, after the presentation, she was told by the head of the Food Additives division to stop investigating the matter. The pressure to “back off” was obvious. However, </w:t>
      </w:r>
      <w:proofErr w:type="spellStart"/>
      <w:r w:rsidRPr="00584044">
        <w:t>Dufault</w:t>
      </w:r>
      <w:proofErr w:type="spellEnd"/>
      <w:r w:rsidRPr="00584044">
        <w:t xml:space="preserve"> and her colleagues chose to pursue the truth.</w:t>
      </w:r>
    </w:p>
    <w:p w14:paraId="6D6AA711" w14:textId="77777777" w:rsidR="00BF48DB" w:rsidRDefault="00BF48DB" w:rsidP="007C1291">
      <w:pPr>
        <w:pStyle w:val="FootnoteText"/>
      </w:pPr>
    </w:p>
    <w:p w14:paraId="2F982D7D" w14:textId="2FEAF347" w:rsidR="00BF48DB" w:rsidRPr="009C5391" w:rsidRDefault="00BF48DB" w:rsidP="007C1291">
      <w:pPr>
        <w:pStyle w:val="FootnoteText"/>
      </w:pPr>
      <w:r>
        <w:rPr>
          <w:i/>
        </w:rPr>
        <w:t>Id.</w:t>
      </w:r>
      <w:r>
        <w:t xml:space="preserve"> An FDA spokesperson replied that the agency did not pursue further investigation because it was not convinced “that there was any evidence of risk.” Melinda Wenner, </w:t>
      </w:r>
      <w:r>
        <w:rPr>
          <w:i/>
        </w:rPr>
        <w:t>Corn Syrup’s Mercury Surprise</w:t>
      </w:r>
      <w:r>
        <w:t xml:space="preserve">, </w:t>
      </w:r>
      <w:r>
        <w:rPr>
          <w:smallCaps/>
        </w:rPr>
        <w:t>Mother Jones</w:t>
      </w:r>
      <w:r>
        <w:t xml:space="preserve"> (July-Aug. 2009), </w:t>
      </w:r>
      <w:r w:rsidRPr="005A5885">
        <w:t>https://www.motherjones.com/environment/2009/08/corn-syrups-mercury-surprise/</w:t>
      </w:r>
      <w:r>
        <w:t>.</w:t>
      </w:r>
    </w:p>
  </w:footnote>
  <w:footnote w:id="184">
    <w:p w14:paraId="7C15E70D" w14:textId="1DDC6B55" w:rsidR="00BF48DB" w:rsidRDefault="00BF48DB" w:rsidP="007C1291">
      <w:pPr>
        <w:pStyle w:val="FootnoteText"/>
      </w:pPr>
      <w:r>
        <w:rPr>
          <w:rStyle w:val="FootnoteReference"/>
        </w:rPr>
        <w:footnoteRef/>
      </w:r>
      <w:r>
        <w:t xml:space="preserve"> Kim </w:t>
      </w:r>
      <w:proofErr w:type="spellStart"/>
      <w:r>
        <w:t>O’Donnel</w:t>
      </w:r>
      <w:proofErr w:type="spellEnd"/>
      <w:r>
        <w:t xml:space="preserve">, </w:t>
      </w:r>
      <w:r>
        <w:rPr>
          <w:i/>
        </w:rPr>
        <w:t xml:space="preserve">High Fructose Corn Syrup Meets Mercury, </w:t>
      </w:r>
      <w:r w:rsidRPr="00B25893">
        <w:rPr>
          <w:smallCaps/>
        </w:rPr>
        <w:t>Wash</w:t>
      </w:r>
      <w:r w:rsidRPr="00434EDC">
        <w:rPr>
          <w:smallCaps/>
        </w:rPr>
        <w:t>. Post</w:t>
      </w:r>
      <w:r>
        <w:rPr>
          <w:smallCaps/>
        </w:rPr>
        <w:t xml:space="preserve"> (</w:t>
      </w:r>
      <w:r>
        <w:t xml:space="preserve">Jan. 28, 2009), </w:t>
      </w:r>
      <w:r w:rsidRPr="00CA5FFF">
        <w:t>http://voices.washingtonpost.com/mighty-appetite/2009/01/high-fructose_corn_syrup_meets.html</w:t>
      </w:r>
      <w:r>
        <w:t>.</w:t>
      </w:r>
    </w:p>
  </w:footnote>
  <w:footnote w:id="185">
    <w:p w14:paraId="3C8E517C" w14:textId="2C0E6C0E" w:rsidR="00BF48DB" w:rsidRPr="004972B5" w:rsidRDefault="00BF48DB">
      <w:pPr>
        <w:pStyle w:val="FootnoteText"/>
      </w:pPr>
      <w:r>
        <w:rPr>
          <w:rStyle w:val="FootnoteReference"/>
        </w:rPr>
        <w:footnoteRef/>
      </w:r>
      <w:r>
        <w:t xml:space="preserve"> </w:t>
      </w:r>
      <w:proofErr w:type="spellStart"/>
      <w:r>
        <w:t>Dufault</w:t>
      </w:r>
      <w:proofErr w:type="spellEnd"/>
      <w:r>
        <w:t xml:space="preserve">, </w:t>
      </w:r>
      <w:r>
        <w:rPr>
          <w:i/>
        </w:rPr>
        <w:t xml:space="preserve">supra </w:t>
      </w:r>
      <w:r>
        <w:t xml:space="preserve">note </w:t>
      </w:r>
      <w:r>
        <w:fldChar w:fldCharType="begin"/>
      </w:r>
      <w:r>
        <w:instrText xml:space="preserve"> NOTEREF _Ref535249663 \h </w:instrText>
      </w:r>
      <w:r>
        <w:fldChar w:fldCharType="separate"/>
      </w:r>
      <w:r>
        <w:t>181</w:t>
      </w:r>
      <w:r>
        <w:fldChar w:fldCharType="end"/>
      </w:r>
      <w:r>
        <w:t>, at 1.</w:t>
      </w:r>
    </w:p>
  </w:footnote>
  <w:footnote w:id="186">
    <w:p w14:paraId="06E48F34" w14:textId="31A9C8A3" w:rsidR="00BF48DB" w:rsidRPr="00F8313D" w:rsidRDefault="00BF48DB" w:rsidP="00254199">
      <w:pPr>
        <w:pStyle w:val="FootnoteText"/>
      </w:pPr>
      <w:r>
        <w:rPr>
          <w:rStyle w:val="FootnoteReference"/>
        </w:rPr>
        <w:footnoteRef/>
      </w:r>
      <w:r>
        <w:t xml:space="preserve"> </w:t>
      </w:r>
      <w:r>
        <w:rPr>
          <w:i/>
        </w:rPr>
        <w:t xml:space="preserve">Id. </w:t>
      </w:r>
      <w:r>
        <w:t>at 3.</w:t>
      </w:r>
    </w:p>
  </w:footnote>
  <w:footnote w:id="187">
    <w:p w14:paraId="0956812E" w14:textId="77777777" w:rsidR="00BF48DB" w:rsidRPr="00D248D8" w:rsidRDefault="00BF48DB" w:rsidP="007C1291">
      <w:pPr>
        <w:pStyle w:val="FootnoteText"/>
      </w:pPr>
      <w:r>
        <w:rPr>
          <w:rStyle w:val="FootnoteReference"/>
        </w:rPr>
        <w:footnoteRef/>
      </w:r>
      <w:r>
        <w:t xml:space="preserve"> </w:t>
      </w:r>
      <w:r>
        <w:rPr>
          <w:i/>
        </w:rPr>
        <w:t>Id.</w:t>
      </w:r>
      <w:r>
        <w:t xml:space="preserve"> at 5.</w:t>
      </w:r>
    </w:p>
  </w:footnote>
  <w:footnote w:id="188">
    <w:p w14:paraId="56A67988" w14:textId="77777777" w:rsidR="00BF48DB" w:rsidRPr="009D259D" w:rsidRDefault="00BF48DB" w:rsidP="007C1291">
      <w:pPr>
        <w:pStyle w:val="FootnoteText"/>
      </w:pPr>
      <w:r>
        <w:rPr>
          <w:rStyle w:val="FootnoteReference"/>
        </w:rPr>
        <w:footnoteRef/>
      </w:r>
      <w:r>
        <w:t xml:space="preserve"> </w:t>
      </w:r>
      <w:r>
        <w:rPr>
          <w:i/>
        </w:rPr>
        <w:t>Id.</w:t>
      </w:r>
      <w:r>
        <w:t xml:space="preserve"> at 4-5.</w:t>
      </w:r>
    </w:p>
  </w:footnote>
  <w:footnote w:id="189">
    <w:p w14:paraId="4B913C9C" w14:textId="77777777" w:rsidR="00BF48DB" w:rsidRPr="00BF449D" w:rsidRDefault="00BF48DB" w:rsidP="007C1291">
      <w:pPr>
        <w:pStyle w:val="FootnoteText"/>
      </w:pPr>
      <w:r>
        <w:rPr>
          <w:rStyle w:val="FootnoteReference"/>
        </w:rPr>
        <w:footnoteRef/>
      </w:r>
      <w:r>
        <w:t xml:space="preserve"> </w:t>
      </w:r>
      <w:r>
        <w:rPr>
          <w:i/>
        </w:rPr>
        <w:t>Id.</w:t>
      </w:r>
      <w:r>
        <w:t xml:space="preserve"> at 5, 10.</w:t>
      </w:r>
    </w:p>
  </w:footnote>
  <w:footnote w:id="190">
    <w:p w14:paraId="1DCEFD39" w14:textId="77777777" w:rsidR="00BF48DB" w:rsidRPr="00BF449D" w:rsidRDefault="00BF48DB" w:rsidP="007C1291">
      <w:pPr>
        <w:pStyle w:val="FootnoteText"/>
      </w:pPr>
      <w:r>
        <w:rPr>
          <w:rStyle w:val="FootnoteReference"/>
        </w:rPr>
        <w:footnoteRef/>
      </w:r>
      <w:r>
        <w:t xml:space="preserve"> </w:t>
      </w:r>
      <w:r>
        <w:rPr>
          <w:i/>
        </w:rPr>
        <w:t>Id.</w:t>
      </w:r>
      <w:r>
        <w:t xml:space="preserve"> at 4-5.</w:t>
      </w:r>
    </w:p>
  </w:footnote>
  <w:footnote w:id="191">
    <w:p w14:paraId="28D5314D" w14:textId="77777777" w:rsidR="00BF48DB" w:rsidRPr="00280110" w:rsidRDefault="00BF48DB" w:rsidP="007C1291">
      <w:pPr>
        <w:pStyle w:val="FootnoteText"/>
      </w:pPr>
      <w:r>
        <w:rPr>
          <w:rStyle w:val="FootnoteReference"/>
        </w:rPr>
        <w:footnoteRef/>
      </w:r>
      <w:r>
        <w:t xml:space="preserve"> </w:t>
      </w:r>
      <w:r>
        <w:rPr>
          <w:i/>
        </w:rPr>
        <w:t>Id.</w:t>
      </w:r>
      <w:r>
        <w:t xml:space="preserve"> at 4-5, 10.</w:t>
      </w:r>
    </w:p>
  </w:footnote>
  <w:footnote w:id="192">
    <w:p w14:paraId="16212DB5" w14:textId="44E2A176" w:rsidR="00BF48DB" w:rsidRDefault="00BF48DB" w:rsidP="007C1291">
      <w:pPr>
        <w:pStyle w:val="FootnoteText"/>
      </w:pPr>
      <w:r>
        <w:rPr>
          <w:rStyle w:val="FootnoteReference"/>
        </w:rPr>
        <w:footnoteRef/>
      </w:r>
      <w:r>
        <w:t xml:space="preserve"> </w:t>
      </w:r>
      <w:r w:rsidRPr="003658E4">
        <w:rPr>
          <w:smallCaps/>
        </w:rPr>
        <w:t>BMC, Clinical Epigenetics, Review Criteria</w:t>
      </w:r>
      <w:r>
        <w:t xml:space="preserve">, </w:t>
      </w:r>
      <w:r w:rsidRPr="003658E4">
        <w:t>https://clinicalepigeneticsjournal.biomedcentral.com/submission-guidelines/preparing-your-manuscript/review</w:t>
      </w:r>
      <w:r>
        <w:t xml:space="preserve"> (last visited Jan. 15, 2019).</w:t>
      </w:r>
    </w:p>
  </w:footnote>
  <w:footnote w:id="193">
    <w:p w14:paraId="0BCB6063" w14:textId="04BD395E" w:rsidR="00BF48DB" w:rsidRDefault="00BF48DB" w:rsidP="001F1CC9">
      <w:pPr>
        <w:pStyle w:val="FootnoteText"/>
      </w:pPr>
      <w:r>
        <w:rPr>
          <w:rStyle w:val="FootnoteReference"/>
        </w:rPr>
        <w:footnoteRef/>
      </w:r>
      <w:r>
        <w:t xml:space="preserve"> </w:t>
      </w:r>
      <w:r w:rsidRPr="001F1CC9">
        <w:rPr>
          <w:smallCaps/>
        </w:rPr>
        <w:t>BMC, Clinical Epigenetics, Citations</w:t>
      </w:r>
      <w:r>
        <w:rPr>
          <w:smallCaps/>
        </w:rPr>
        <w:t xml:space="preserve">, </w:t>
      </w:r>
      <w:r w:rsidRPr="003658E4">
        <w:t>https://www.biomedcentral.com/getpublished/editorial-policies</w:t>
      </w:r>
      <w:r>
        <w:t xml:space="preserve"> (last visited Jan. 15, 2019) (giving examples of “non-research articles” as “Opinion, Review, and Commentary articles). According to one source, reviews are “</w:t>
      </w:r>
      <w:proofErr w:type="spellStart"/>
      <w:r w:rsidRPr="002A02E6">
        <w:t>analysing</w:t>
      </w:r>
      <w:proofErr w:type="spellEnd"/>
      <w:r w:rsidRPr="002A02E6">
        <w:t xml:space="preserve"> and evaluating current research and investigations related to a specific topic, field, or problem. </w:t>
      </w:r>
      <w:r>
        <w:t>Reviews</w:t>
      </w:r>
      <w:r w:rsidRPr="002A02E6">
        <w:t xml:space="preserve"> are not primary sources since they review previously published material. They can be of great value for identifying potentially good primary sources, but </w:t>
      </w:r>
      <w:r>
        <w:t xml:space="preserve">they aren't primary themselves.” </w:t>
      </w:r>
      <w:r w:rsidRPr="003658E4">
        <w:rPr>
          <w:i/>
        </w:rPr>
        <w:t>Chemistry Resources: Primary Sources and Original Research vs. Review Articles</w:t>
      </w:r>
      <w:r>
        <w:t xml:space="preserve">, </w:t>
      </w:r>
      <w:r w:rsidRPr="00422F83">
        <w:rPr>
          <w:smallCaps/>
        </w:rPr>
        <w:t>Mount St. Mary’s U</w:t>
      </w:r>
      <w:r>
        <w:rPr>
          <w:smallCaps/>
        </w:rPr>
        <w:t>.</w:t>
      </w:r>
      <w:r w:rsidRPr="00434EDC">
        <w:rPr>
          <w:smallCaps/>
        </w:rPr>
        <w:t xml:space="preserve">, Phillips </w:t>
      </w:r>
      <w:proofErr w:type="spellStart"/>
      <w:r w:rsidRPr="00434EDC">
        <w:rPr>
          <w:smallCaps/>
        </w:rPr>
        <w:t>Libr</w:t>
      </w:r>
      <w:proofErr w:type="spellEnd"/>
      <w:r>
        <w:rPr>
          <w:smallCaps/>
        </w:rPr>
        <w:t>.</w:t>
      </w:r>
      <w:r>
        <w:t xml:space="preserve"> (Oct. 22, 2018), </w:t>
      </w:r>
      <w:r w:rsidRPr="001D7D14">
        <w:t>https://libguides.msmary.edu/c.php?g=11462&amp;p=59914</w:t>
      </w:r>
      <w:r>
        <w:t xml:space="preserve">; Priscilla Coulter, </w:t>
      </w:r>
      <w:r w:rsidRPr="003658E4">
        <w:rPr>
          <w:i/>
        </w:rPr>
        <w:t xml:space="preserve">What is the Difference </w:t>
      </w:r>
      <w:r>
        <w:rPr>
          <w:i/>
        </w:rPr>
        <w:t>B</w:t>
      </w:r>
      <w:r w:rsidRPr="003658E4">
        <w:rPr>
          <w:i/>
        </w:rPr>
        <w:t xml:space="preserve">etween a Research Article (or Research Study) or Original </w:t>
      </w:r>
      <w:proofErr w:type="gramStart"/>
      <w:r w:rsidRPr="003658E4">
        <w:rPr>
          <w:i/>
        </w:rPr>
        <w:t>Article?</w:t>
      </w:r>
      <w:r>
        <w:t>,</w:t>
      </w:r>
      <w:proofErr w:type="gramEnd"/>
      <w:r>
        <w:t xml:space="preserve"> </w:t>
      </w:r>
      <w:r w:rsidRPr="00422F83">
        <w:rPr>
          <w:smallCaps/>
        </w:rPr>
        <w:t xml:space="preserve">Richard G. </w:t>
      </w:r>
      <w:proofErr w:type="spellStart"/>
      <w:r w:rsidRPr="00422F83">
        <w:rPr>
          <w:smallCaps/>
        </w:rPr>
        <w:t>Trefry</w:t>
      </w:r>
      <w:proofErr w:type="spellEnd"/>
      <w:r w:rsidRPr="00422F83">
        <w:rPr>
          <w:smallCaps/>
        </w:rPr>
        <w:t xml:space="preserve"> </w:t>
      </w:r>
      <w:proofErr w:type="spellStart"/>
      <w:r w:rsidRPr="00422F83">
        <w:rPr>
          <w:smallCaps/>
        </w:rPr>
        <w:t>Libr</w:t>
      </w:r>
      <w:proofErr w:type="spellEnd"/>
      <w:r>
        <w:rPr>
          <w:smallCaps/>
        </w:rPr>
        <w:t>.</w:t>
      </w:r>
      <w:r>
        <w:t xml:space="preserve"> (Mar. 7, 2017), </w:t>
      </w:r>
      <w:r w:rsidRPr="00481B6F">
        <w:t>https://apus.libanswers.com/faq/2324</w:t>
      </w:r>
      <w:r>
        <w:t>.</w:t>
      </w:r>
    </w:p>
  </w:footnote>
  <w:footnote w:id="194">
    <w:p w14:paraId="55410CCB" w14:textId="1DE85683" w:rsidR="00BF48DB" w:rsidRPr="00D459FA" w:rsidRDefault="00BF48DB">
      <w:pPr>
        <w:pStyle w:val="FootnoteText"/>
      </w:pPr>
      <w:r>
        <w:rPr>
          <w:rStyle w:val="FootnoteReference"/>
        </w:rPr>
        <w:footnoteRef/>
      </w:r>
      <w:r>
        <w:t xml:space="preserve"> </w:t>
      </w:r>
      <w:r w:rsidRPr="003658E4">
        <w:rPr>
          <w:smallCaps/>
        </w:rPr>
        <w:t>BMC, Clinical Epigenetics, Research Criteria</w:t>
      </w:r>
      <w:r>
        <w:t xml:space="preserve">, </w:t>
      </w:r>
      <w:r w:rsidRPr="00BB7151">
        <w:t>https://clinicalepigeneticsjournal.biomedcentral.com/submission-guidelines/preparing-your-manuscript/research</w:t>
      </w:r>
      <w:r>
        <w:rPr>
          <w:i/>
        </w:rPr>
        <w:t>. See also</w:t>
      </w:r>
      <w:r>
        <w:t xml:space="preserve"> I. Diane Cooper, </w:t>
      </w:r>
      <w:r>
        <w:rPr>
          <w:i/>
        </w:rPr>
        <w:t>How to Write an Original Research Paper</w:t>
      </w:r>
      <w:r>
        <w:t xml:space="preserve">, 103 </w:t>
      </w:r>
      <w:r>
        <w:rPr>
          <w:smallCaps/>
        </w:rPr>
        <w:t xml:space="preserve">J. Med. Lib. </w:t>
      </w:r>
      <w:proofErr w:type="spellStart"/>
      <w:r>
        <w:rPr>
          <w:smallCaps/>
        </w:rPr>
        <w:t>Ass’n</w:t>
      </w:r>
      <w:proofErr w:type="spellEnd"/>
      <w:r>
        <w:t xml:space="preserve"> 67 (2015); Mandy Edwards, </w:t>
      </w:r>
      <w:r>
        <w:rPr>
          <w:i/>
        </w:rPr>
        <w:t>What Does Originality in Research Mean? A Student’s Perspective</w:t>
      </w:r>
      <w:r>
        <w:t xml:space="preserve">, 21 </w:t>
      </w:r>
      <w:r>
        <w:rPr>
          <w:smallCaps/>
        </w:rPr>
        <w:t>Nurse Res.</w:t>
      </w:r>
      <w:r>
        <w:t xml:space="preserve"> 8, 8-9 (2014); Gene v. Glass, </w:t>
      </w:r>
      <w:r>
        <w:rPr>
          <w:i/>
        </w:rPr>
        <w:t>Primary, Secondary, and Meta-Analysis of Research</w:t>
      </w:r>
      <w:r>
        <w:t xml:space="preserve">, 5 </w:t>
      </w:r>
      <w:r>
        <w:rPr>
          <w:smallCaps/>
        </w:rPr>
        <w:t>Educ. Res.</w:t>
      </w:r>
      <w:r>
        <w:t xml:space="preserve"> 3, 3 (1976).</w:t>
      </w:r>
    </w:p>
  </w:footnote>
  <w:footnote w:id="195">
    <w:p w14:paraId="2C95513D" w14:textId="6A4E7D0C" w:rsidR="00BF48DB" w:rsidRPr="00FB45FB" w:rsidRDefault="00BF48DB">
      <w:pPr>
        <w:pStyle w:val="FootnoteText"/>
        <w:rPr>
          <w:i/>
        </w:rPr>
      </w:pPr>
      <w:r>
        <w:rPr>
          <w:rStyle w:val="FootnoteReference"/>
        </w:rPr>
        <w:footnoteRef/>
      </w:r>
      <w:r>
        <w:t xml:space="preserve"> </w:t>
      </w:r>
      <w:proofErr w:type="spellStart"/>
      <w:r>
        <w:t>Dufault</w:t>
      </w:r>
      <w:proofErr w:type="spellEnd"/>
      <w:r>
        <w:t xml:space="preserve"> et al., </w:t>
      </w:r>
      <w:r>
        <w:rPr>
          <w:i/>
        </w:rPr>
        <w:t>supra</w:t>
      </w:r>
      <w:r>
        <w:t xml:space="preserve"> note </w:t>
      </w:r>
      <w:r>
        <w:fldChar w:fldCharType="begin"/>
      </w:r>
      <w:r>
        <w:instrText xml:space="preserve"> NOTEREF _Ref535249663 \h </w:instrText>
      </w:r>
      <w:r>
        <w:fldChar w:fldCharType="separate"/>
      </w:r>
      <w:r>
        <w:t>181</w:t>
      </w:r>
      <w:r>
        <w:fldChar w:fldCharType="end"/>
      </w:r>
      <w:r>
        <w:t>, at 1.</w:t>
      </w:r>
    </w:p>
  </w:footnote>
  <w:footnote w:id="196">
    <w:p w14:paraId="33361E9B" w14:textId="68DF7E42" w:rsidR="00BF48DB" w:rsidRPr="00D916D7" w:rsidRDefault="00BF48DB">
      <w:pPr>
        <w:pStyle w:val="FootnoteText"/>
      </w:pPr>
      <w:r>
        <w:rPr>
          <w:rStyle w:val="FootnoteReference"/>
        </w:rPr>
        <w:footnoteRef/>
      </w:r>
      <w:r>
        <w:t xml:space="preserve"> Nicole Crawford, </w:t>
      </w:r>
      <w:r>
        <w:rPr>
          <w:i/>
        </w:rPr>
        <w:t xml:space="preserve">What Processed </w:t>
      </w:r>
      <w:r w:rsidRPr="00D916D7">
        <w:rPr>
          <w:i/>
        </w:rPr>
        <w:t xml:space="preserve">Food </w:t>
      </w:r>
      <w:r>
        <w:rPr>
          <w:i/>
        </w:rPr>
        <w:t>i</w:t>
      </w:r>
      <w:r w:rsidRPr="00D916D7">
        <w:rPr>
          <w:i/>
        </w:rPr>
        <w:t xml:space="preserve">s Doing </w:t>
      </w:r>
      <w:r>
        <w:rPr>
          <w:i/>
        </w:rPr>
        <w:t>t</w:t>
      </w:r>
      <w:r w:rsidRPr="00D916D7">
        <w:rPr>
          <w:i/>
        </w:rPr>
        <w:t xml:space="preserve">o Kids </w:t>
      </w:r>
      <w:r>
        <w:rPr>
          <w:i/>
        </w:rPr>
        <w:t>a</w:t>
      </w:r>
      <w:r w:rsidRPr="00D916D7">
        <w:rPr>
          <w:i/>
        </w:rPr>
        <w:t xml:space="preserve">nd How </w:t>
      </w:r>
      <w:r>
        <w:rPr>
          <w:i/>
        </w:rPr>
        <w:t>W</w:t>
      </w:r>
      <w:r w:rsidRPr="00D916D7">
        <w:rPr>
          <w:i/>
        </w:rPr>
        <w:t xml:space="preserve">e </w:t>
      </w:r>
      <w:r>
        <w:rPr>
          <w:i/>
        </w:rPr>
        <w:t>C</w:t>
      </w:r>
      <w:r w:rsidRPr="00D916D7">
        <w:rPr>
          <w:i/>
        </w:rPr>
        <w:t>an Change</w:t>
      </w:r>
      <w:r>
        <w:rPr>
          <w:i/>
        </w:rPr>
        <w:t xml:space="preserve"> I</w:t>
      </w:r>
      <w:r w:rsidRPr="00D916D7">
        <w:rPr>
          <w:i/>
        </w:rPr>
        <w:t>t</w:t>
      </w:r>
      <w:r>
        <w:t xml:space="preserve">, </w:t>
      </w:r>
      <w:r>
        <w:rPr>
          <w:smallCaps/>
        </w:rPr>
        <w:t>BreakingMuscle.com</w:t>
      </w:r>
      <w:r>
        <w:t xml:space="preserve">, </w:t>
      </w:r>
      <w:hyperlink r:id="rId2" w:history="1">
        <w:r w:rsidRPr="003073B8">
          <w:rPr>
            <w:rStyle w:val="Hyperlink"/>
          </w:rPr>
          <w:t>https://breakingmuscle.com/fitness/what-processed-food-is-doing-to-kids-and-how-we-can-change-it</w:t>
        </w:r>
      </w:hyperlink>
      <w:r>
        <w:t xml:space="preserve"> </w:t>
      </w:r>
      <w:r w:rsidRPr="00D25985">
        <w:t xml:space="preserve">(last visited </w:t>
      </w:r>
      <w:r w:rsidRPr="007F38AF">
        <w:t>Feb. 1, 2019</w:t>
      </w:r>
      <w:r w:rsidRPr="00D25985">
        <w:t>)</w:t>
      </w:r>
      <w:r>
        <w:t>.</w:t>
      </w:r>
    </w:p>
  </w:footnote>
  <w:footnote w:id="197">
    <w:p w14:paraId="4710D42B" w14:textId="60FB8FA7" w:rsidR="00BF48DB" w:rsidRPr="00C460BA" w:rsidRDefault="00BF48DB" w:rsidP="00C460BA">
      <w:pPr>
        <w:pStyle w:val="FootnoteText"/>
      </w:pPr>
      <w:r>
        <w:rPr>
          <w:rStyle w:val="FootnoteReference"/>
        </w:rPr>
        <w:footnoteRef/>
      </w:r>
      <w:r>
        <w:t xml:space="preserve"> </w:t>
      </w:r>
      <w:r>
        <w:rPr>
          <w:i/>
        </w:rPr>
        <w:t>See supra</w:t>
      </w:r>
      <w:r>
        <w:t xml:space="preserve"> note </w:t>
      </w:r>
      <w:r>
        <w:fldChar w:fldCharType="begin"/>
      </w:r>
      <w:r>
        <w:instrText xml:space="preserve"> NOTEREF _Ref535334224 \h </w:instrText>
      </w:r>
      <w:r>
        <w:fldChar w:fldCharType="separate"/>
      </w:r>
      <w:r>
        <w:t>176</w:t>
      </w:r>
      <w:r>
        <w:fldChar w:fldCharType="end"/>
      </w:r>
      <w:r>
        <w:t xml:space="preserve"> (listing examples of websites repeating findings of the Review).</w:t>
      </w:r>
    </w:p>
  </w:footnote>
  <w:footnote w:id="198">
    <w:p w14:paraId="216B52EA" w14:textId="2DC2E62A" w:rsidR="00BF48DB" w:rsidRPr="00F22EB1" w:rsidRDefault="00BF48DB" w:rsidP="00BB4037">
      <w:pPr>
        <w:pStyle w:val="FootnoteText"/>
      </w:pPr>
      <w:r>
        <w:rPr>
          <w:rStyle w:val="FootnoteReference"/>
        </w:rPr>
        <w:footnoteRef/>
      </w:r>
      <w:r>
        <w:t xml:space="preserve"> </w:t>
      </w:r>
      <w:proofErr w:type="spellStart"/>
      <w:r>
        <w:t>Dufault</w:t>
      </w:r>
      <w:proofErr w:type="spellEnd"/>
      <w:r>
        <w:t xml:space="preserve"> et al., </w:t>
      </w:r>
      <w:r>
        <w:rPr>
          <w:i/>
        </w:rPr>
        <w:t>supra</w:t>
      </w:r>
      <w:r>
        <w:t xml:space="preserve"> note </w:t>
      </w:r>
      <w:r>
        <w:fldChar w:fldCharType="begin"/>
      </w:r>
      <w:r>
        <w:instrText xml:space="preserve"> NOTEREF _Ref535249663 \h </w:instrText>
      </w:r>
      <w:r>
        <w:fldChar w:fldCharType="separate"/>
      </w:r>
      <w:r>
        <w:t>181</w:t>
      </w:r>
      <w:r>
        <w:fldChar w:fldCharType="end"/>
      </w:r>
      <w:r>
        <w:t>, at 10.</w:t>
      </w:r>
    </w:p>
  </w:footnote>
  <w:footnote w:id="199">
    <w:p w14:paraId="0ACA3C4E" w14:textId="6A796876" w:rsidR="00BF48DB" w:rsidRPr="00BD4F2E" w:rsidRDefault="00BF48DB" w:rsidP="00BD4F2E">
      <w:pPr>
        <w:pStyle w:val="FootnoteText"/>
      </w:pPr>
      <w:r>
        <w:rPr>
          <w:rStyle w:val="FootnoteReference"/>
        </w:rPr>
        <w:footnoteRef/>
      </w:r>
      <w:r>
        <w:t xml:space="preserve"> Estelle Dumas-Mallet et al., </w:t>
      </w:r>
      <w:r>
        <w:rPr>
          <w:i/>
        </w:rPr>
        <w:t>Poor Replication Validity of Biomedical Association Studies Reported by Newspapers</w:t>
      </w:r>
      <w:r>
        <w:t xml:space="preserve">, 12 </w:t>
      </w:r>
      <w:r>
        <w:rPr>
          <w:smallCaps/>
        </w:rPr>
        <w:t>PLOS One</w:t>
      </w:r>
      <w:r>
        <w:t xml:space="preserve"> 1, 3 (2017). </w:t>
      </w:r>
    </w:p>
  </w:footnote>
  <w:footnote w:id="200">
    <w:p w14:paraId="7AE65B0D" w14:textId="0E092434" w:rsidR="00BF48DB" w:rsidRPr="005D364E" w:rsidRDefault="00BF48DB">
      <w:pPr>
        <w:pStyle w:val="FootnoteText"/>
      </w:pPr>
      <w:r>
        <w:rPr>
          <w:rStyle w:val="FootnoteReference"/>
        </w:rPr>
        <w:footnoteRef/>
      </w:r>
      <w:r>
        <w:t xml:space="preserve"> </w:t>
      </w:r>
      <w:r>
        <w:rPr>
          <w:i/>
        </w:rPr>
        <w:t>Id.</w:t>
      </w:r>
      <w:r>
        <w:t xml:space="preserve"> at 3-4.</w:t>
      </w:r>
    </w:p>
  </w:footnote>
  <w:footnote w:id="201">
    <w:p w14:paraId="04E8B785" w14:textId="414510B1" w:rsidR="00BF48DB" w:rsidRPr="005D364E" w:rsidRDefault="00BF48DB">
      <w:pPr>
        <w:pStyle w:val="FootnoteText"/>
      </w:pPr>
      <w:r>
        <w:rPr>
          <w:rStyle w:val="FootnoteReference"/>
        </w:rPr>
        <w:footnoteRef/>
      </w:r>
      <w:r>
        <w:t xml:space="preserve"> </w:t>
      </w:r>
      <w:r>
        <w:rPr>
          <w:i/>
        </w:rPr>
        <w:t>Id.</w:t>
      </w:r>
      <w:r>
        <w:t xml:space="preserve"> at 7-8.</w:t>
      </w:r>
    </w:p>
  </w:footnote>
  <w:footnote w:id="202">
    <w:p w14:paraId="1191B9AD" w14:textId="37370883" w:rsidR="00BF48DB" w:rsidRPr="00F36FC6" w:rsidRDefault="00BF48DB">
      <w:pPr>
        <w:pStyle w:val="FootnoteText"/>
      </w:pPr>
      <w:r>
        <w:rPr>
          <w:rStyle w:val="FootnoteReference"/>
        </w:rPr>
        <w:footnoteRef/>
      </w:r>
      <w:r>
        <w:t xml:space="preserve"> </w:t>
      </w:r>
      <w:r>
        <w:rPr>
          <w:i/>
        </w:rPr>
        <w:t>Id.</w:t>
      </w:r>
      <w:r>
        <w:t xml:space="preserve"> at 12.</w:t>
      </w:r>
    </w:p>
  </w:footnote>
  <w:footnote w:id="203">
    <w:p w14:paraId="284C19A4" w14:textId="1198EFA2" w:rsidR="00BF48DB" w:rsidRPr="0039669D" w:rsidRDefault="00BF48DB" w:rsidP="0039669D">
      <w:pPr>
        <w:pStyle w:val="FootnoteText"/>
      </w:pPr>
      <w:r>
        <w:rPr>
          <w:rStyle w:val="FootnoteReference"/>
        </w:rPr>
        <w:footnoteRef/>
      </w:r>
      <w:r>
        <w:t xml:space="preserve"> </w:t>
      </w:r>
      <w:r>
        <w:rPr>
          <w:i/>
        </w:rPr>
        <w:t>Id.</w:t>
      </w:r>
      <w:r>
        <w:t xml:space="preserve"> (citing F. Prinz et al., </w:t>
      </w:r>
      <w:r>
        <w:rPr>
          <w:i/>
        </w:rPr>
        <w:t xml:space="preserve">Believe it or Not: How Much Can We Rely on Published Data on Potential Drug </w:t>
      </w:r>
      <w:proofErr w:type="gramStart"/>
      <w:r>
        <w:rPr>
          <w:i/>
        </w:rPr>
        <w:t>Targets?</w:t>
      </w:r>
      <w:r>
        <w:t>,</w:t>
      </w:r>
      <w:proofErr w:type="gramEnd"/>
      <w:r>
        <w:t xml:space="preserve"> 10 </w:t>
      </w:r>
      <w:r>
        <w:rPr>
          <w:smallCaps/>
        </w:rPr>
        <w:t>Nat. Rev. Drug Discovery</w:t>
      </w:r>
      <w:r>
        <w:t xml:space="preserve"> 712 (2011); A. </w:t>
      </w:r>
      <w:proofErr w:type="spellStart"/>
      <w:r>
        <w:t>Tajika</w:t>
      </w:r>
      <w:proofErr w:type="spellEnd"/>
      <w:r>
        <w:t xml:space="preserve"> et al, </w:t>
      </w:r>
      <w:r>
        <w:rPr>
          <w:i/>
        </w:rPr>
        <w:t>Replication and Contradiction of Highly Cited Research Papers in Psychiatry: 10-Year Follow Up</w:t>
      </w:r>
      <w:r>
        <w:t xml:space="preserve">, 207 </w:t>
      </w:r>
      <w:r>
        <w:rPr>
          <w:smallCaps/>
        </w:rPr>
        <w:t>Brit. J. Psych.</w:t>
      </w:r>
      <w:r>
        <w:t xml:space="preserve"> 357 (2015)).</w:t>
      </w:r>
    </w:p>
  </w:footnote>
  <w:footnote w:id="204">
    <w:p w14:paraId="52E9ED05" w14:textId="332DC4B6" w:rsidR="00BF48DB" w:rsidRDefault="00BF48DB">
      <w:pPr>
        <w:pStyle w:val="FootnoteText"/>
      </w:pPr>
      <w:r>
        <w:rPr>
          <w:rStyle w:val="FootnoteReference"/>
        </w:rPr>
        <w:footnoteRef/>
      </w:r>
      <w:r>
        <w:t xml:space="preserve"> </w:t>
      </w:r>
      <w:r>
        <w:rPr>
          <w:i/>
        </w:rPr>
        <w:t>See supra</w:t>
      </w:r>
      <w:r>
        <w:t xml:space="preserve"> note </w:t>
      </w:r>
      <w:r>
        <w:fldChar w:fldCharType="begin"/>
      </w:r>
      <w:r>
        <w:instrText xml:space="preserve"> NOTEREF _Ref535334224 \h </w:instrText>
      </w:r>
      <w:r>
        <w:fldChar w:fldCharType="separate"/>
      </w:r>
      <w:r>
        <w:t>176</w:t>
      </w:r>
      <w:r>
        <w:fldChar w:fldCharType="end"/>
      </w:r>
      <w:r>
        <w:t xml:space="preserve"> (listing examples of websites repeating findings of the Review).</w:t>
      </w:r>
    </w:p>
  </w:footnote>
  <w:footnote w:id="205">
    <w:p w14:paraId="44F9FF64" w14:textId="216C3667" w:rsidR="00BF48DB" w:rsidRDefault="00BF48DB" w:rsidP="00B37301">
      <w:pPr>
        <w:pStyle w:val="FootnoteText"/>
      </w:pPr>
      <w:r>
        <w:rPr>
          <w:rStyle w:val="FootnoteReference"/>
        </w:rPr>
        <w:footnoteRef/>
      </w:r>
      <w:r>
        <w:t xml:space="preserve"> </w:t>
      </w:r>
      <w:r w:rsidRPr="00422F83">
        <w:rPr>
          <w:i/>
        </w:rPr>
        <w:t>Sugar and Autism</w:t>
      </w:r>
      <w:r w:rsidRPr="00422F83">
        <w:t xml:space="preserve">, </w:t>
      </w:r>
      <w:r w:rsidRPr="00D25985">
        <w:rPr>
          <w:rFonts w:cs="Times New Roman (Body CS)"/>
          <w:smallCaps/>
        </w:rPr>
        <w:t>Smilodon’s Retreat</w:t>
      </w:r>
      <w:r w:rsidRPr="00422F83">
        <w:t>, (Oct. 20, 2012),</w:t>
      </w:r>
      <w:r w:rsidRPr="00B55288">
        <w:t xml:space="preserve"> https://www.skepticink.com/smilodonsretreat/2012/10/20/sugar-and-autism/</w:t>
      </w:r>
      <w:r>
        <w:t>.</w:t>
      </w:r>
    </w:p>
  </w:footnote>
  <w:footnote w:id="206">
    <w:p w14:paraId="238B89E5" w14:textId="109ABC96" w:rsidR="00BF48DB" w:rsidRPr="006E5662" w:rsidRDefault="00BF48DB">
      <w:pPr>
        <w:pStyle w:val="FootnoteText"/>
      </w:pPr>
      <w:r>
        <w:rPr>
          <w:rStyle w:val="FootnoteReference"/>
        </w:rPr>
        <w:footnoteRef/>
      </w:r>
      <w:r>
        <w:t xml:space="preserve"> </w:t>
      </w:r>
      <w:r w:rsidRPr="006E5662">
        <w:t>The Review begins by mentioning a hypothesized claim backed by original research that gene variation that may trigger autism could be attributed to exposure to organophosphate pesticides.</w:t>
      </w:r>
      <w:r>
        <w:t xml:space="preserve"> </w:t>
      </w:r>
      <w:proofErr w:type="spellStart"/>
      <w:r>
        <w:t>Dufault</w:t>
      </w:r>
      <w:proofErr w:type="spellEnd"/>
      <w:r>
        <w:t xml:space="preserve">, </w:t>
      </w:r>
      <w:r w:rsidRPr="006E5662">
        <w:rPr>
          <w:i/>
        </w:rPr>
        <w:t>supra</w:t>
      </w:r>
      <w:r>
        <w:t xml:space="preserve"> note </w:t>
      </w:r>
      <w:r>
        <w:fldChar w:fldCharType="begin"/>
      </w:r>
      <w:r>
        <w:instrText xml:space="preserve"> NOTEREF _Ref535249663 \h </w:instrText>
      </w:r>
      <w:r>
        <w:fldChar w:fldCharType="separate"/>
      </w:r>
      <w:r>
        <w:t>181</w:t>
      </w:r>
      <w:r>
        <w:fldChar w:fldCharType="end"/>
      </w:r>
      <w:r>
        <w:t xml:space="preserve">, at 1. </w:t>
      </w:r>
      <w:r w:rsidRPr="006E5662">
        <w:t xml:space="preserve">Curiously, however, the Review then sets this research aside without further discussion, concluding that “[w]e </w:t>
      </w:r>
      <w:proofErr w:type="gramStart"/>
      <w:r w:rsidRPr="006E5662">
        <w:t>think</w:t>
      </w:r>
      <w:proofErr w:type="gramEnd"/>
      <w:r w:rsidRPr="006E5662">
        <w:t xml:space="preserve"> a more plausible explanation may lie in the U. S. food supply.”</w:t>
      </w:r>
      <w:r>
        <w:t xml:space="preserve"> </w:t>
      </w:r>
      <w:r>
        <w:rPr>
          <w:i/>
        </w:rPr>
        <w:t xml:space="preserve">Id. </w:t>
      </w:r>
      <w:r>
        <w:t>at 1.</w:t>
      </w:r>
    </w:p>
  </w:footnote>
  <w:footnote w:id="207">
    <w:p w14:paraId="12D61D65" w14:textId="1B418150" w:rsidR="00BF48DB" w:rsidRPr="00BA4177" w:rsidRDefault="00BF48DB" w:rsidP="00B37301">
      <w:pPr>
        <w:pStyle w:val="FootnoteText"/>
      </w:pPr>
      <w:r>
        <w:rPr>
          <w:rStyle w:val="FootnoteReference"/>
        </w:rPr>
        <w:footnoteRef/>
      </w:r>
      <w:r>
        <w:t xml:space="preserve"> </w:t>
      </w:r>
      <w:r w:rsidRPr="00D25985">
        <w:rPr>
          <w:rFonts w:cs="Times New Roman (Body CS)"/>
          <w:smallCaps/>
        </w:rPr>
        <w:t>Smilodon’s Retreat</w:t>
      </w:r>
      <w:r w:rsidRPr="00422F83">
        <w:t xml:space="preserve">, </w:t>
      </w:r>
      <w:r w:rsidRPr="00422F83">
        <w:rPr>
          <w:i/>
        </w:rPr>
        <w:t xml:space="preserve">supra </w:t>
      </w:r>
      <w:r w:rsidRPr="00422F83">
        <w:t xml:space="preserve">note </w:t>
      </w:r>
      <w:r>
        <w:fldChar w:fldCharType="begin"/>
      </w:r>
      <w:r>
        <w:instrText xml:space="preserve"> NOTEREF _Ref535345146 \h </w:instrText>
      </w:r>
      <w:r>
        <w:fldChar w:fldCharType="separate"/>
      </w:r>
      <w:r>
        <w:t>204</w:t>
      </w:r>
      <w:r>
        <w:fldChar w:fldCharType="end"/>
      </w:r>
      <w:r w:rsidRPr="00422F83">
        <w:rPr>
          <w:i/>
        </w:rPr>
        <w:t>.</w:t>
      </w:r>
    </w:p>
  </w:footnote>
  <w:footnote w:id="208">
    <w:p w14:paraId="3B3277E5" w14:textId="77777777" w:rsidR="00BF48DB" w:rsidRPr="000976D1" w:rsidRDefault="00BF48DB" w:rsidP="00B37301">
      <w:pPr>
        <w:pStyle w:val="FootnoteText"/>
      </w:pPr>
      <w:r>
        <w:rPr>
          <w:rStyle w:val="FootnoteReference"/>
        </w:rPr>
        <w:footnoteRef/>
      </w:r>
      <w:r>
        <w:t xml:space="preserve"> </w:t>
      </w:r>
      <w:r>
        <w:rPr>
          <w:i/>
        </w:rPr>
        <w:t>Id.</w:t>
      </w:r>
    </w:p>
  </w:footnote>
  <w:footnote w:id="209">
    <w:p w14:paraId="1A2E5B9E" w14:textId="77777777" w:rsidR="00BF48DB" w:rsidRPr="008422C9" w:rsidRDefault="00BF48DB">
      <w:pPr>
        <w:pStyle w:val="FootnoteText"/>
      </w:pPr>
      <w:r>
        <w:rPr>
          <w:rStyle w:val="FootnoteReference"/>
        </w:rPr>
        <w:footnoteRef/>
      </w:r>
      <w:r>
        <w:t xml:space="preserve"> </w:t>
      </w:r>
      <w:r>
        <w:rPr>
          <w:i/>
        </w:rPr>
        <w:t>Id.</w:t>
      </w:r>
    </w:p>
  </w:footnote>
  <w:footnote w:id="210">
    <w:p w14:paraId="08873CEF" w14:textId="6D940E58" w:rsidR="00BF48DB" w:rsidRPr="0038712F" w:rsidRDefault="00BF48DB">
      <w:pPr>
        <w:pStyle w:val="FootnoteText"/>
      </w:pPr>
      <w:r>
        <w:rPr>
          <w:rStyle w:val="FootnoteReference"/>
        </w:rPr>
        <w:footnoteRef/>
      </w:r>
      <w:r>
        <w:t xml:space="preserve"> Emily Willingham, </w:t>
      </w:r>
      <w:r>
        <w:rPr>
          <w:i/>
        </w:rPr>
        <w:t>Why That Corn-Syrup-and-Autism Study Leaves Such a Sour Taste</w:t>
      </w:r>
      <w:r>
        <w:t xml:space="preserve">, </w:t>
      </w:r>
      <w:r>
        <w:rPr>
          <w:smallCaps/>
        </w:rPr>
        <w:t>Grist</w:t>
      </w:r>
      <w:r>
        <w:t xml:space="preserve"> (Apr. 23, 2012), </w:t>
      </w:r>
      <w:r w:rsidRPr="0038712F">
        <w:t>https://grist.org/food/why-that-corn-syrup-and-autism-study-leaves-such-a-sour-taste/</w:t>
      </w:r>
      <w:r>
        <w:t>.</w:t>
      </w:r>
    </w:p>
  </w:footnote>
  <w:footnote w:id="211">
    <w:p w14:paraId="63E3440A" w14:textId="1B9BC961" w:rsidR="00BF48DB" w:rsidRPr="00457BB0" w:rsidRDefault="00BF48DB">
      <w:pPr>
        <w:pStyle w:val="FootnoteText"/>
      </w:pPr>
      <w:r>
        <w:rPr>
          <w:rStyle w:val="FootnoteReference"/>
        </w:rPr>
        <w:footnoteRef/>
      </w:r>
      <w:r>
        <w:t xml:space="preserve"> </w:t>
      </w:r>
      <w:r>
        <w:rPr>
          <w:i/>
        </w:rPr>
        <w:t>Id.</w:t>
      </w:r>
    </w:p>
  </w:footnote>
  <w:footnote w:id="212">
    <w:p w14:paraId="2AAB888E" w14:textId="49B9C560" w:rsidR="00BF48DB" w:rsidRPr="00457BB0" w:rsidRDefault="00BF48DB">
      <w:pPr>
        <w:pStyle w:val="FootnoteText"/>
      </w:pPr>
      <w:r>
        <w:rPr>
          <w:rStyle w:val="FootnoteReference"/>
        </w:rPr>
        <w:footnoteRef/>
      </w:r>
      <w:r>
        <w:t xml:space="preserve"> </w:t>
      </w:r>
      <w:r>
        <w:rPr>
          <w:i/>
        </w:rPr>
        <w:t>Id.</w:t>
      </w:r>
    </w:p>
  </w:footnote>
  <w:footnote w:id="213">
    <w:p w14:paraId="3E338A86" w14:textId="496BB390" w:rsidR="00BF48DB" w:rsidRPr="0058244A" w:rsidRDefault="00BF48DB">
      <w:pPr>
        <w:pStyle w:val="FootnoteText"/>
      </w:pPr>
      <w:r>
        <w:rPr>
          <w:rStyle w:val="FootnoteReference"/>
        </w:rPr>
        <w:footnoteRef/>
      </w:r>
      <w:r>
        <w:t xml:space="preserve"> </w:t>
      </w:r>
      <w:r>
        <w:rPr>
          <w:i/>
        </w:rPr>
        <w:t>Id.</w:t>
      </w:r>
    </w:p>
  </w:footnote>
  <w:footnote w:id="214">
    <w:p w14:paraId="25034D83" w14:textId="51D712AE" w:rsidR="00BF48DB" w:rsidRPr="0058244A" w:rsidRDefault="00BF48DB">
      <w:pPr>
        <w:pStyle w:val="FootnoteText"/>
      </w:pPr>
      <w:r>
        <w:rPr>
          <w:rStyle w:val="FootnoteReference"/>
        </w:rPr>
        <w:footnoteRef/>
      </w:r>
      <w:r>
        <w:t xml:space="preserve"> </w:t>
      </w:r>
      <w:r>
        <w:rPr>
          <w:i/>
        </w:rPr>
        <w:t>Id.</w:t>
      </w:r>
    </w:p>
  </w:footnote>
  <w:footnote w:id="215">
    <w:p w14:paraId="63E13927" w14:textId="65F0829F" w:rsidR="00BF48DB" w:rsidRPr="0058244A" w:rsidRDefault="00BF48DB">
      <w:pPr>
        <w:pStyle w:val="FootnoteText"/>
      </w:pPr>
      <w:r>
        <w:rPr>
          <w:rStyle w:val="FootnoteReference"/>
        </w:rPr>
        <w:footnoteRef/>
      </w:r>
      <w:r>
        <w:t xml:space="preserve"> Scott Rosenberg, </w:t>
      </w:r>
      <w:r>
        <w:rPr>
          <w:i/>
        </w:rPr>
        <w:t>High-Fructose Corn Syrup and Autism: The Paper’s Authors Respond</w:t>
      </w:r>
      <w:r>
        <w:t xml:space="preserve">, </w:t>
      </w:r>
      <w:r>
        <w:rPr>
          <w:smallCaps/>
        </w:rPr>
        <w:t>Grist</w:t>
      </w:r>
      <w:r>
        <w:t xml:space="preserve"> (May 2, 2012) (quoting response by Renee </w:t>
      </w:r>
      <w:proofErr w:type="spellStart"/>
      <w:r>
        <w:t>Dufault</w:t>
      </w:r>
      <w:proofErr w:type="spellEnd"/>
      <w:r>
        <w:t xml:space="preserve"> and David </w:t>
      </w:r>
      <w:proofErr w:type="spellStart"/>
      <w:r>
        <w:t>Wallinga</w:t>
      </w:r>
      <w:proofErr w:type="spellEnd"/>
      <w:r>
        <w:t xml:space="preserve">, co-authors of the Review), </w:t>
      </w:r>
      <w:r w:rsidRPr="0058244A">
        <w:t>https://grist.org/food/high-fructose-corn-syrup-and-autism-the-papers-authors-respond/</w:t>
      </w:r>
      <w:r>
        <w:t>.</w:t>
      </w:r>
    </w:p>
  </w:footnote>
  <w:footnote w:id="216">
    <w:p w14:paraId="6C0D393C" w14:textId="773BB722" w:rsidR="00BF48DB" w:rsidRPr="0058244A" w:rsidRDefault="00BF48DB">
      <w:pPr>
        <w:pStyle w:val="FootnoteText"/>
      </w:pPr>
      <w:r>
        <w:rPr>
          <w:rStyle w:val="FootnoteReference"/>
        </w:rPr>
        <w:footnoteRef/>
      </w:r>
      <w:r>
        <w:t xml:space="preserve"> </w:t>
      </w:r>
      <w:r>
        <w:rPr>
          <w:i/>
        </w:rPr>
        <w:t>Id.</w:t>
      </w:r>
    </w:p>
  </w:footnote>
  <w:footnote w:id="217">
    <w:p w14:paraId="06493600" w14:textId="1CA3C06D" w:rsidR="00BF48DB" w:rsidRPr="0058244A" w:rsidRDefault="00BF48DB">
      <w:pPr>
        <w:pStyle w:val="FootnoteText"/>
      </w:pPr>
      <w:r>
        <w:rPr>
          <w:rStyle w:val="FootnoteReference"/>
        </w:rPr>
        <w:footnoteRef/>
      </w:r>
      <w:r>
        <w:t xml:space="preserve"> </w:t>
      </w:r>
      <w:r>
        <w:rPr>
          <w:i/>
        </w:rPr>
        <w:t>Id.</w:t>
      </w:r>
    </w:p>
  </w:footnote>
  <w:footnote w:id="218">
    <w:p w14:paraId="72162D0A" w14:textId="24BC4DD3" w:rsidR="00BF48DB" w:rsidRPr="00590DCB" w:rsidRDefault="00BF48DB">
      <w:pPr>
        <w:pStyle w:val="FootnoteText"/>
      </w:pPr>
      <w:r>
        <w:rPr>
          <w:rStyle w:val="FootnoteReference"/>
        </w:rPr>
        <w:footnoteRef/>
      </w:r>
      <w:r>
        <w:t xml:space="preserve"> </w:t>
      </w:r>
      <w:r>
        <w:rPr>
          <w:i/>
        </w:rPr>
        <w:t xml:space="preserve">Id. </w:t>
      </w:r>
      <w:r>
        <w:t>(emphasis in original).</w:t>
      </w:r>
    </w:p>
  </w:footnote>
  <w:footnote w:id="219">
    <w:p w14:paraId="5C244AA9" w14:textId="3B0AA418" w:rsidR="00BF48DB" w:rsidRPr="00FF721E" w:rsidRDefault="00BF48DB" w:rsidP="005F7634">
      <w:pPr>
        <w:pStyle w:val="FootnoteText"/>
      </w:pPr>
      <w:r>
        <w:rPr>
          <w:rStyle w:val="FootnoteReference"/>
        </w:rPr>
        <w:footnoteRef/>
      </w:r>
      <w:r>
        <w:t xml:space="preserve"> </w:t>
      </w:r>
      <w:proofErr w:type="spellStart"/>
      <w:r>
        <w:t>Dufault</w:t>
      </w:r>
      <w:proofErr w:type="spellEnd"/>
      <w:r>
        <w:t xml:space="preserve">, </w:t>
      </w:r>
      <w:r w:rsidRPr="00803E24">
        <w:rPr>
          <w:i/>
        </w:rPr>
        <w:t>supra</w:t>
      </w:r>
      <w:r>
        <w:t xml:space="preserve"> note </w:t>
      </w:r>
      <w:r>
        <w:fldChar w:fldCharType="begin"/>
      </w:r>
      <w:r>
        <w:instrText xml:space="preserve"> NOTEREF _Ref535249663 \h </w:instrText>
      </w:r>
      <w:r>
        <w:fldChar w:fldCharType="separate"/>
      </w:r>
      <w:r>
        <w:t>181</w:t>
      </w:r>
      <w:r>
        <w:fldChar w:fldCharType="end"/>
      </w:r>
      <w:r>
        <w:t xml:space="preserve">, at 3-4. Copper, an unhealthful heavy metal, competes with dietary Zinc and impairs function of bodily metabolic processes. </w:t>
      </w:r>
      <w:r>
        <w:rPr>
          <w:i/>
        </w:rPr>
        <w:t>Id.</w:t>
      </w:r>
    </w:p>
  </w:footnote>
  <w:footnote w:id="220">
    <w:p w14:paraId="77510B56" w14:textId="241DE079" w:rsidR="00BF48DB" w:rsidRDefault="00BF48DB" w:rsidP="005F7634">
      <w:pPr>
        <w:pStyle w:val="FootnoteText"/>
      </w:pPr>
      <w:r>
        <w:rPr>
          <w:rStyle w:val="FootnoteReference"/>
        </w:rPr>
        <w:footnoteRef/>
      </w:r>
      <w:r>
        <w:t xml:space="preserve"> </w:t>
      </w:r>
      <w:r>
        <w:rPr>
          <w:i/>
        </w:rPr>
        <w:t>Id.</w:t>
      </w:r>
      <w:r>
        <w:t xml:space="preserve"> at 5 (citing Revised Mercury Toxicity Model).</w:t>
      </w:r>
    </w:p>
  </w:footnote>
  <w:footnote w:id="221">
    <w:p w14:paraId="7B2CC931" w14:textId="2939531B" w:rsidR="00BF48DB" w:rsidRPr="004F59CC" w:rsidRDefault="00BF48DB" w:rsidP="005F7634">
      <w:pPr>
        <w:pStyle w:val="FootnoteText"/>
        <w:rPr>
          <w:smallCaps/>
        </w:rPr>
      </w:pPr>
      <w:r>
        <w:rPr>
          <w:rStyle w:val="FootnoteReference"/>
        </w:rPr>
        <w:footnoteRef/>
      </w:r>
      <w:r>
        <w:t xml:space="preserve"> Renee </w:t>
      </w:r>
      <w:proofErr w:type="spellStart"/>
      <w:r>
        <w:t>Dufault</w:t>
      </w:r>
      <w:proofErr w:type="spellEnd"/>
      <w:r>
        <w:t xml:space="preserve"> et al., </w:t>
      </w:r>
      <w:r>
        <w:rPr>
          <w:i/>
        </w:rPr>
        <w:t>Mercury Exposure, Nutritional Deficiencies and Metabolic Disruptions May Effect Learning in Children</w:t>
      </w:r>
      <w:r>
        <w:t xml:space="preserve">, 5 </w:t>
      </w:r>
      <w:r>
        <w:rPr>
          <w:smallCaps/>
        </w:rPr>
        <w:t>Clinical Epigenetics 1 (2009).</w:t>
      </w:r>
    </w:p>
  </w:footnote>
  <w:footnote w:id="222">
    <w:p w14:paraId="31A2DD0C" w14:textId="77777777" w:rsidR="00BF48DB" w:rsidRPr="000061EF" w:rsidRDefault="00BF48DB" w:rsidP="005F7634">
      <w:pPr>
        <w:pStyle w:val="FootnoteText"/>
      </w:pPr>
      <w:r>
        <w:rPr>
          <w:rStyle w:val="FootnoteReference"/>
        </w:rPr>
        <w:footnoteRef/>
      </w:r>
      <w:r>
        <w:t xml:space="preserve"> Rao </w:t>
      </w:r>
      <w:proofErr w:type="spellStart"/>
      <w:r>
        <w:t>Ivaturi</w:t>
      </w:r>
      <w:proofErr w:type="spellEnd"/>
      <w:r>
        <w:t xml:space="preserve"> &amp; Constance </w:t>
      </w:r>
      <w:proofErr w:type="spellStart"/>
      <w:r>
        <w:t>Kies</w:t>
      </w:r>
      <w:proofErr w:type="spellEnd"/>
      <w:r>
        <w:t xml:space="preserve">, </w:t>
      </w:r>
      <w:r>
        <w:rPr>
          <w:i/>
        </w:rPr>
        <w:t>Mineral Imbalances in Humans as Affected by Fructose, High Fructose Corn Syrup and Sucrose</w:t>
      </w:r>
      <w:r>
        <w:t xml:space="preserve">, 42 </w:t>
      </w:r>
      <w:r>
        <w:rPr>
          <w:smallCaps/>
        </w:rPr>
        <w:t xml:space="preserve">Plant Foods for </w:t>
      </w:r>
      <w:r w:rsidRPr="00422F83">
        <w:rPr>
          <w:smallCaps/>
        </w:rPr>
        <w:t>Hum.</w:t>
      </w:r>
      <w:r>
        <w:rPr>
          <w:smallCaps/>
        </w:rPr>
        <w:t xml:space="preserve"> Nutrition</w:t>
      </w:r>
      <w:r>
        <w:t xml:space="preserve"> 143 (1992).</w:t>
      </w:r>
    </w:p>
  </w:footnote>
  <w:footnote w:id="223">
    <w:p w14:paraId="5006D726" w14:textId="173601C9" w:rsidR="00BF48DB" w:rsidRPr="00D22DE8" w:rsidRDefault="00BF48DB" w:rsidP="005F7634">
      <w:pPr>
        <w:pStyle w:val="FootnoteText"/>
      </w:pPr>
      <w:r>
        <w:rPr>
          <w:rStyle w:val="FootnoteReference"/>
        </w:rPr>
        <w:footnoteRef/>
      </w:r>
      <w:r>
        <w:t xml:space="preserve"> </w:t>
      </w:r>
      <w:r>
        <w:rPr>
          <w:i/>
        </w:rPr>
        <w:t>Id.</w:t>
      </w:r>
      <w:r>
        <w:t xml:space="preserve"> at 144. Sucrose and HFCS have different characteristics. </w:t>
      </w:r>
      <w:r>
        <w:rPr>
          <w:i/>
        </w:rPr>
        <w:t>Id.</w:t>
      </w:r>
      <w:r>
        <w:t xml:space="preserve"> HFCS, in contrast to sucrose, contains free fructose in amounts ranging between forty and ninety percent. </w:t>
      </w:r>
      <w:r>
        <w:rPr>
          <w:i/>
        </w:rPr>
        <w:t>Id.</w:t>
      </w:r>
      <w:r>
        <w:t xml:space="preserve"> HFCS also contains dextrose, maltose, and glucose. </w:t>
      </w:r>
      <w:r>
        <w:rPr>
          <w:i/>
        </w:rPr>
        <w:t>Id. See also</w:t>
      </w:r>
      <w:r>
        <w:t xml:space="preserve"> Tara </w:t>
      </w:r>
      <w:proofErr w:type="spellStart"/>
      <w:r>
        <w:t>Allstun</w:t>
      </w:r>
      <w:proofErr w:type="spellEnd"/>
      <w:r>
        <w:t xml:space="preserve">, </w:t>
      </w:r>
      <w:r>
        <w:rPr>
          <w:i/>
        </w:rPr>
        <w:t>A Sweet (Or Not So Sweet) Surprise: Unpacking the FDA Ruling Against “Corn Sugar” As an Alternative Name for High-Fructose Corn Syrup</w:t>
      </w:r>
      <w:r>
        <w:t xml:space="preserve">, </w:t>
      </w:r>
      <w:r w:rsidRPr="00825B24">
        <w:t xml:space="preserve">18 </w:t>
      </w:r>
      <w:r w:rsidRPr="00825B24">
        <w:rPr>
          <w:smallCaps/>
        </w:rPr>
        <w:t>Drake J. Agric. L.</w:t>
      </w:r>
      <w:r w:rsidRPr="00825B24">
        <w:t xml:space="preserve"> 349</w:t>
      </w:r>
      <w:r>
        <w:t>, 355-56 (2013).</w:t>
      </w:r>
    </w:p>
  </w:footnote>
  <w:footnote w:id="224">
    <w:p w14:paraId="6639B86F" w14:textId="0FA506CD" w:rsidR="00BF48DB" w:rsidRPr="00A55FD5" w:rsidRDefault="00BF48DB">
      <w:pPr>
        <w:pStyle w:val="FootnoteText"/>
      </w:pPr>
      <w:r>
        <w:rPr>
          <w:rStyle w:val="FootnoteReference"/>
        </w:rPr>
        <w:footnoteRef/>
      </w:r>
      <w:r>
        <w:t xml:space="preserve"> </w:t>
      </w:r>
      <w:r>
        <w:rPr>
          <w:i/>
        </w:rPr>
        <w:t>Id.</w:t>
      </w:r>
      <w:r>
        <w:t xml:space="preserve"> at 146.</w:t>
      </w:r>
    </w:p>
  </w:footnote>
  <w:footnote w:id="225">
    <w:p w14:paraId="3178A11A" w14:textId="77777777" w:rsidR="00BF48DB" w:rsidRPr="009F7D15" w:rsidRDefault="00BF48DB" w:rsidP="005F7634">
      <w:pPr>
        <w:pStyle w:val="FootnoteText"/>
      </w:pPr>
      <w:r>
        <w:rPr>
          <w:rStyle w:val="FootnoteReference"/>
        </w:rPr>
        <w:footnoteRef/>
      </w:r>
      <w:r>
        <w:t xml:space="preserve"> </w:t>
      </w:r>
      <w:r>
        <w:rPr>
          <w:i/>
        </w:rPr>
        <w:t>Id.</w:t>
      </w:r>
      <w:r>
        <w:t xml:space="preserve"> at 149-50.</w:t>
      </w:r>
    </w:p>
  </w:footnote>
  <w:footnote w:id="226">
    <w:p w14:paraId="7BC9232E" w14:textId="77777777" w:rsidR="00BF48DB" w:rsidRPr="00BD7773" w:rsidRDefault="00BF48DB" w:rsidP="005F7634">
      <w:pPr>
        <w:pStyle w:val="FootnoteText"/>
      </w:pPr>
      <w:r>
        <w:rPr>
          <w:rStyle w:val="FootnoteReference"/>
        </w:rPr>
        <w:footnoteRef/>
      </w:r>
      <w:r>
        <w:t xml:space="preserve"> </w:t>
      </w:r>
      <w:r>
        <w:rPr>
          <w:i/>
        </w:rPr>
        <w:t>Id.</w:t>
      </w:r>
      <w:r>
        <w:t xml:space="preserve"> at 150.</w:t>
      </w:r>
    </w:p>
  </w:footnote>
  <w:footnote w:id="227">
    <w:p w14:paraId="0877B8CE" w14:textId="1CE78CF7" w:rsidR="00BF48DB" w:rsidRPr="00A55FD5" w:rsidRDefault="00BF48DB">
      <w:pPr>
        <w:pStyle w:val="FootnoteText"/>
      </w:pPr>
      <w:r>
        <w:rPr>
          <w:rStyle w:val="FootnoteReference"/>
        </w:rPr>
        <w:footnoteRef/>
      </w:r>
      <w:r>
        <w:t xml:space="preserve"> </w:t>
      </w:r>
      <w:r>
        <w:rPr>
          <w:i/>
        </w:rPr>
        <w:t>Id.</w:t>
      </w:r>
      <w:r>
        <w:t xml:space="preserve"> at 147.</w:t>
      </w:r>
    </w:p>
  </w:footnote>
  <w:footnote w:id="228">
    <w:p w14:paraId="6E579983" w14:textId="0DEF40BB" w:rsidR="00BF48DB" w:rsidRPr="00587A45" w:rsidRDefault="00BF48DB" w:rsidP="005F7634">
      <w:pPr>
        <w:pStyle w:val="FootnoteText"/>
      </w:pPr>
      <w:r>
        <w:rPr>
          <w:rStyle w:val="FootnoteReference"/>
        </w:rPr>
        <w:footnoteRef/>
      </w:r>
      <w:r>
        <w:t xml:space="preserve"> </w:t>
      </w:r>
      <w:r>
        <w:rPr>
          <w:i/>
        </w:rPr>
        <w:t>See</w:t>
      </w:r>
      <w:r>
        <w:t xml:space="preserve"> </w:t>
      </w:r>
      <w:r w:rsidRPr="00D25985">
        <w:rPr>
          <w:rFonts w:cs="Times New Roman (Body CS)"/>
          <w:smallCaps/>
        </w:rPr>
        <w:t>Smilodon’s Retreat</w:t>
      </w:r>
      <w:r>
        <w:t xml:space="preserve">, </w:t>
      </w:r>
      <w:r>
        <w:rPr>
          <w:i/>
        </w:rPr>
        <w:t>supra</w:t>
      </w:r>
      <w:r>
        <w:t xml:space="preserve"> note </w:t>
      </w:r>
      <w:r>
        <w:fldChar w:fldCharType="begin"/>
      </w:r>
      <w:r>
        <w:instrText xml:space="preserve"> NOTEREF _Ref535345146 \h </w:instrText>
      </w:r>
      <w:r>
        <w:fldChar w:fldCharType="separate"/>
      </w:r>
      <w:r>
        <w:t>204</w:t>
      </w:r>
      <w:r>
        <w:fldChar w:fldCharType="end"/>
      </w:r>
      <w:r>
        <w:t xml:space="preserve"> (agreeing generally with this conclusion).</w:t>
      </w:r>
    </w:p>
  </w:footnote>
  <w:footnote w:id="229">
    <w:p w14:paraId="7F7D848D" w14:textId="3B647143" w:rsidR="00BF48DB" w:rsidRPr="00576160" w:rsidRDefault="00BF48DB" w:rsidP="008757D5">
      <w:pPr>
        <w:pStyle w:val="FootnoteText"/>
      </w:pPr>
      <w:r>
        <w:rPr>
          <w:rStyle w:val="FootnoteReference"/>
        </w:rPr>
        <w:footnoteRef/>
      </w:r>
      <w:r>
        <w:t xml:space="preserve"> Joseph W. Taylor et al., </w:t>
      </w:r>
      <w:r>
        <w:rPr>
          <w:i/>
        </w:rPr>
        <w:t>What Medical News Comes from Press Releases—A Case Study of Pancreatic Cancer and Processed Meat</w:t>
      </w:r>
      <w:r>
        <w:t xml:space="preserve">, 10 </w:t>
      </w:r>
      <w:proofErr w:type="spellStart"/>
      <w:r>
        <w:rPr>
          <w:smallCaps/>
        </w:rPr>
        <w:t>PLoS</w:t>
      </w:r>
      <w:proofErr w:type="spellEnd"/>
      <w:r>
        <w:rPr>
          <w:smallCaps/>
        </w:rPr>
        <w:t xml:space="preserve"> One</w:t>
      </w:r>
      <w:r>
        <w:t xml:space="preserve"> 1, 10 (2015) (“Scientific findings are, by their very nature, often extremely complex and esoteric.”).</w:t>
      </w:r>
    </w:p>
  </w:footnote>
  <w:footnote w:id="230">
    <w:p w14:paraId="0D53125B" w14:textId="07519E4C" w:rsidR="00BF48DB" w:rsidRPr="001657CF" w:rsidRDefault="00BF48DB" w:rsidP="001657CF">
      <w:pPr>
        <w:pStyle w:val="FootnoteText"/>
        <w:rPr>
          <w:color w:val="000000"/>
          <w:shd w:val="clear" w:color="auto" w:fill="FFFFFF"/>
        </w:rPr>
      </w:pPr>
      <w:r>
        <w:rPr>
          <w:rStyle w:val="FootnoteReference"/>
        </w:rPr>
        <w:footnoteRef/>
      </w:r>
      <w:r>
        <w:t xml:space="preserve"> </w:t>
      </w:r>
      <w:r w:rsidRPr="001657CF">
        <w:rPr>
          <w:i/>
        </w:rPr>
        <w:t>See, e.g.,</w:t>
      </w:r>
      <w:r w:rsidRPr="001657CF">
        <w:t xml:space="preserve"> M.R.C. Greenwood &amp; Donna </w:t>
      </w:r>
      <w:proofErr w:type="spellStart"/>
      <w:r w:rsidRPr="001657CF">
        <w:t>Gerardi</w:t>
      </w:r>
      <w:proofErr w:type="spellEnd"/>
      <w:r w:rsidRPr="001657CF">
        <w:t xml:space="preserve"> Riordan, </w:t>
      </w:r>
      <w:r>
        <w:rPr>
          <w:i/>
        </w:rPr>
        <w:t>Civic Scientist/Civic Duty</w:t>
      </w:r>
      <w:r>
        <w:t xml:space="preserve">, </w:t>
      </w:r>
      <w:r w:rsidRPr="001657CF">
        <w:rPr>
          <w:color w:val="000000"/>
          <w:shd w:val="clear" w:color="auto" w:fill="FFFFFF"/>
        </w:rPr>
        <w:t xml:space="preserve">23 </w:t>
      </w:r>
      <w:r w:rsidRPr="001657CF">
        <w:rPr>
          <w:smallCaps/>
          <w:color w:val="000000"/>
          <w:shd w:val="clear" w:color="auto" w:fill="FFFFFF"/>
        </w:rPr>
        <w:t>Sci. Com.</w:t>
      </w:r>
      <w:r w:rsidRPr="001657CF">
        <w:rPr>
          <w:color w:val="000000"/>
          <w:shd w:val="clear" w:color="auto" w:fill="FFFFFF"/>
        </w:rPr>
        <w:t xml:space="preserve"> 28, 28-32 (2001) (describing the origin, definition, and importance of being a “civic scientist);</w:t>
      </w:r>
      <w:r>
        <w:rPr>
          <w:color w:val="000000"/>
          <w:shd w:val="clear" w:color="auto" w:fill="FFFFFF"/>
        </w:rPr>
        <w:t xml:space="preserve"> Al </w:t>
      </w:r>
      <w:proofErr w:type="spellStart"/>
      <w:r>
        <w:rPr>
          <w:color w:val="000000"/>
          <w:shd w:val="clear" w:color="auto" w:fill="FFFFFF"/>
        </w:rPr>
        <w:t>Leshner</w:t>
      </w:r>
      <w:proofErr w:type="spellEnd"/>
      <w:r>
        <w:rPr>
          <w:color w:val="000000"/>
          <w:shd w:val="clear" w:color="auto" w:fill="FFFFFF"/>
        </w:rPr>
        <w:t xml:space="preserve">, </w:t>
      </w:r>
      <w:r>
        <w:rPr>
          <w:i/>
          <w:color w:val="000000"/>
          <w:shd w:val="clear" w:color="auto" w:fill="FFFFFF"/>
        </w:rPr>
        <w:t>Public Engagement with Science</w:t>
      </w:r>
      <w:r>
        <w:rPr>
          <w:color w:val="000000"/>
          <w:shd w:val="clear" w:color="auto" w:fill="FFFFFF"/>
        </w:rPr>
        <w:t xml:space="preserve">, 299 </w:t>
      </w:r>
      <w:r>
        <w:rPr>
          <w:smallCaps/>
          <w:color w:val="000000"/>
          <w:shd w:val="clear" w:color="auto" w:fill="FFFFFF"/>
        </w:rPr>
        <w:t>Science</w:t>
      </w:r>
      <w:r>
        <w:rPr>
          <w:color w:val="000000"/>
          <w:shd w:val="clear" w:color="auto" w:fill="FFFFFF"/>
        </w:rPr>
        <w:t xml:space="preserve"> 977 (2003) (explaining in an editorial that “[t]he centrality of science to modern life bestows an obligation on the scientific community to develop different and closer links with the general population.”).</w:t>
      </w:r>
    </w:p>
  </w:footnote>
  <w:footnote w:id="231">
    <w:p w14:paraId="46F3EDB9" w14:textId="2E930F11" w:rsidR="00BF48DB" w:rsidRDefault="00BF48DB" w:rsidP="00145CC8">
      <w:pPr>
        <w:pStyle w:val="FootnoteText"/>
      </w:pPr>
      <w:r>
        <w:rPr>
          <w:rStyle w:val="FootnoteReference"/>
        </w:rPr>
        <w:footnoteRef/>
      </w:r>
      <w:r>
        <w:t xml:space="preserve"> Sara E. Brownell et al., </w:t>
      </w:r>
      <w:r w:rsidRPr="00F967EE">
        <w:rPr>
          <w:i/>
        </w:rPr>
        <w:t xml:space="preserve">Science Communication to the General Public: Why We Need to Teach Undergraduate and Graduate Students </w:t>
      </w:r>
      <w:r>
        <w:rPr>
          <w:i/>
        </w:rPr>
        <w:t>T</w:t>
      </w:r>
      <w:r w:rsidRPr="00F967EE">
        <w:rPr>
          <w:i/>
        </w:rPr>
        <w:t>his Skill as Part of Their Formal Scientific Training</w:t>
      </w:r>
      <w:r>
        <w:t xml:space="preserve">, 12 </w:t>
      </w:r>
      <w:r w:rsidRPr="00324E44">
        <w:rPr>
          <w:smallCaps/>
        </w:rPr>
        <w:t xml:space="preserve">J. </w:t>
      </w:r>
      <w:r w:rsidRPr="001256DD">
        <w:rPr>
          <w:smallCaps/>
        </w:rPr>
        <w:t>Undergraduate</w:t>
      </w:r>
      <w:r w:rsidRPr="00324E44">
        <w:rPr>
          <w:smallCaps/>
        </w:rPr>
        <w:t xml:space="preserve"> </w:t>
      </w:r>
      <w:proofErr w:type="spellStart"/>
      <w:r w:rsidRPr="00324E44">
        <w:rPr>
          <w:smallCaps/>
        </w:rPr>
        <w:t>Neurosci</w:t>
      </w:r>
      <w:proofErr w:type="spellEnd"/>
      <w:r w:rsidRPr="00324E44">
        <w:rPr>
          <w:smallCaps/>
        </w:rPr>
        <w:t>. Educ.</w:t>
      </w:r>
      <w:r>
        <w:rPr>
          <w:smallCaps/>
        </w:rPr>
        <w:t xml:space="preserve"> E6, E6 (2013).</w:t>
      </w:r>
    </w:p>
  </w:footnote>
  <w:footnote w:id="232">
    <w:p w14:paraId="102FECDB" w14:textId="3CABFD7C" w:rsidR="00BF48DB" w:rsidRPr="000A4F99" w:rsidRDefault="00BF48DB">
      <w:pPr>
        <w:pStyle w:val="FootnoteText"/>
      </w:pPr>
      <w:r>
        <w:rPr>
          <w:rStyle w:val="FootnoteReference"/>
        </w:rPr>
        <w:footnoteRef/>
      </w:r>
      <w:r>
        <w:t xml:space="preserve"> </w:t>
      </w:r>
      <w:r>
        <w:rPr>
          <w:i/>
        </w:rPr>
        <w:t xml:space="preserve">Cf. </w:t>
      </w:r>
      <w:r>
        <w:t xml:space="preserve">Judith Stacey, </w:t>
      </w:r>
      <w:r w:rsidRPr="000A4F99">
        <w:rPr>
          <w:i/>
        </w:rPr>
        <w:t>Marital Suitors Court Social Science Spin-</w:t>
      </w:r>
      <w:proofErr w:type="spellStart"/>
      <w:r w:rsidRPr="000A4F99">
        <w:rPr>
          <w:i/>
        </w:rPr>
        <w:t>sters</w:t>
      </w:r>
      <w:proofErr w:type="spellEnd"/>
      <w:r w:rsidRPr="000A4F99">
        <w:rPr>
          <w:i/>
        </w:rPr>
        <w:t>: The Unwittingly Conservative Effects of Public Sociology</w:t>
      </w:r>
      <w:r>
        <w:t xml:space="preserve">, 51 </w:t>
      </w:r>
      <w:r>
        <w:rPr>
          <w:smallCaps/>
        </w:rPr>
        <w:t xml:space="preserve">Soc. Probs. </w:t>
      </w:r>
      <w:r>
        <w:t>131, 141 (2004) (“Sound-bite social science cannot accommodate complexity, nuance, ambiguity, or uncertainty—the fundamental features of critical reason and intellectual inquiry.”).</w:t>
      </w:r>
    </w:p>
  </w:footnote>
  <w:footnote w:id="233">
    <w:p w14:paraId="16F3A2AF" w14:textId="4D4B348C" w:rsidR="00BF48DB" w:rsidRPr="00C41939" w:rsidRDefault="00BF48DB" w:rsidP="00145CC8">
      <w:pPr>
        <w:pStyle w:val="FootnoteText"/>
      </w:pPr>
      <w:r>
        <w:rPr>
          <w:rStyle w:val="FootnoteReference"/>
        </w:rPr>
        <w:footnoteRef/>
      </w:r>
      <w:r>
        <w:t xml:space="preserve"> Brownell et al., </w:t>
      </w:r>
      <w:r>
        <w:rPr>
          <w:i/>
        </w:rPr>
        <w:t xml:space="preserve">supra </w:t>
      </w:r>
      <w:r>
        <w:t xml:space="preserve">note </w:t>
      </w:r>
      <w:r>
        <w:fldChar w:fldCharType="begin"/>
      </w:r>
      <w:r>
        <w:instrText xml:space="preserve"> NOTEREF _Ref535499717 \h </w:instrText>
      </w:r>
      <w:r>
        <w:fldChar w:fldCharType="separate"/>
      </w:r>
      <w:r>
        <w:t>230</w:t>
      </w:r>
      <w:r>
        <w:fldChar w:fldCharType="end"/>
      </w:r>
      <w:r>
        <w:t>, at E7.</w:t>
      </w:r>
    </w:p>
  </w:footnote>
  <w:footnote w:id="234">
    <w:p w14:paraId="1BB4CA33" w14:textId="77777777" w:rsidR="00BF48DB" w:rsidRPr="00C41939" w:rsidRDefault="00BF48DB" w:rsidP="00145CC8">
      <w:pPr>
        <w:pStyle w:val="FootnoteText"/>
      </w:pPr>
      <w:r>
        <w:rPr>
          <w:rStyle w:val="FootnoteReference"/>
        </w:rPr>
        <w:footnoteRef/>
      </w:r>
      <w:r>
        <w:t xml:space="preserve"> </w:t>
      </w:r>
      <w:r>
        <w:rPr>
          <w:i/>
        </w:rPr>
        <w:t>Id.</w:t>
      </w:r>
      <w:r>
        <w:t xml:space="preserve"> at E6.</w:t>
      </w:r>
    </w:p>
  </w:footnote>
  <w:footnote w:id="235">
    <w:p w14:paraId="01BDC9F8" w14:textId="77777777" w:rsidR="00BF48DB" w:rsidRPr="00CC67A1" w:rsidRDefault="00BF48DB" w:rsidP="00145CC8">
      <w:pPr>
        <w:pStyle w:val="FootnoteText"/>
      </w:pPr>
      <w:r>
        <w:rPr>
          <w:rStyle w:val="FootnoteReference"/>
        </w:rPr>
        <w:footnoteRef/>
      </w:r>
      <w:r>
        <w:t xml:space="preserve"> Micah L. Berman &amp; Annice E. Kim, </w:t>
      </w:r>
      <w:r w:rsidRPr="00CC67A1">
        <w:rPr>
          <w:i/>
        </w:rPr>
        <w:t>Bridging the Gap between Science and Law: The Example of Tobacco Regulatory Science</w:t>
      </w:r>
      <w:r>
        <w:t xml:space="preserve">, 43 </w:t>
      </w:r>
      <w:r w:rsidRPr="00CC67A1">
        <w:rPr>
          <w:smallCaps/>
        </w:rPr>
        <w:t>J.L. Med. &amp; Ethics</w:t>
      </w:r>
      <w:r>
        <w:rPr>
          <w:smallCaps/>
        </w:rPr>
        <w:t xml:space="preserve"> 95, 95 (2015).</w:t>
      </w:r>
    </w:p>
  </w:footnote>
  <w:footnote w:id="236">
    <w:p w14:paraId="68F9CE7D" w14:textId="77777777" w:rsidR="00BF48DB" w:rsidRPr="00B84265" w:rsidRDefault="00BF48DB" w:rsidP="00145CC8">
      <w:pPr>
        <w:pStyle w:val="FootnoteText"/>
      </w:pPr>
      <w:r>
        <w:rPr>
          <w:rStyle w:val="FootnoteReference"/>
        </w:rPr>
        <w:footnoteRef/>
      </w:r>
      <w:r>
        <w:t xml:space="preserve"> </w:t>
      </w:r>
      <w:r>
        <w:rPr>
          <w:i/>
        </w:rPr>
        <w:t>Id.</w:t>
      </w:r>
    </w:p>
  </w:footnote>
  <w:footnote w:id="237">
    <w:p w14:paraId="52736F5F" w14:textId="73B6E446" w:rsidR="00BF48DB" w:rsidRPr="00EF0FD2" w:rsidRDefault="00BF48DB" w:rsidP="00145CC8">
      <w:pPr>
        <w:pStyle w:val="FootnoteText"/>
      </w:pPr>
      <w:r>
        <w:rPr>
          <w:rStyle w:val="FootnoteReference"/>
        </w:rPr>
        <w:footnoteRef/>
      </w:r>
      <w:r>
        <w:t xml:space="preserve"> Brownell et al., </w:t>
      </w:r>
      <w:r w:rsidRPr="00EF0FD2">
        <w:rPr>
          <w:i/>
        </w:rPr>
        <w:t>supra</w:t>
      </w:r>
      <w:r>
        <w:t xml:space="preserve"> note </w:t>
      </w:r>
      <w:r>
        <w:fldChar w:fldCharType="begin"/>
      </w:r>
      <w:r>
        <w:instrText xml:space="preserve"> NOTEREF _Ref535499717 \h </w:instrText>
      </w:r>
      <w:r>
        <w:fldChar w:fldCharType="separate"/>
      </w:r>
      <w:r>
        <w:t>230</w:t>
      </w:r>
      <w:r>
        <w:fldChar w:fldCharType="end"/>
      </w:r>
      <w:r>
        <w:t>, at E6.</w:t>
      </w:r>
    </w:p>
  </w:footnote>
  <w:footnote w:id="238">
    <w:p w14:paraId="318477D0" w14:textId="77777777" w:rsidR="00BF48DB" w:rsidRPr="005C678D" w:rsidRDefault="00BF48DB" w:rsidP="00145CC8">
      <w:pPr>
        <w:pStyle w:val="FootnoteText"/>
      </w:pPr>
      <w:r>
        <w:rPr>
          <w:rStyle w:val="FootnoteReference"/>
        </w:rPr>
        <w:footnoteRef/>
      </w:r>
      <w:r>
        <w:t xml:space="preserve"> </w:t>
      </w:r>
      <w:r>
        <w:rPr>
          <w:i/>
        </w:rPr>
        <w:t>See, e.g.,</w:t>
      </w:r>
      <w:r>
        <w:t xml:space="preserve"> Lauren A. </w:t>
      </w:r>
      <w:proofErr w:type="spellStart"/>
      <w:r>
        <w:t>Cirino</w:t>
      </w:r>
      <w:proofErr w:type="spellEnd"/>
      <w:r>
        <w:t xml:space="preserve"> et al., </w:t>
      </w:r>
      <w:r>
        <w:rPr>
          <w:i/>
        </w:rPr>
        <w:t>Broadening the Voice of Science: Promoting Scientific Communication in the Undergraduate Classroom</w:t>
      </w:r>
      <w:r>
        <w:t xml:space="preserve">, 7 </w:t>
      </w:r>
      <w:r w:rsidRPr="001256DD">
        <w:rPr>
          <w:smallCaps/>
        </w:rPr>
        <w:t>Ecology &amp; Evolution</w:t>
      </w:r>
      <w:r>
        <w:t xml:space="preserve"> 10124, 10124 (2017) (“Training future generations of scientists in effective communication is imperative.”).</w:t>
      </w:r>
    </w:p>
  </w:footnote>
  <w:footnote w:id="239">
    <w:p w14:paraId="41F53A68" w14:textId="52DCACDC" w:rsidR="00BF48DB" w:rsidRPr="00DF2443" w:rsidRDefault="00BF48DB" w:rsidP="00145CC8">
      <w:pPr>
        <w:pStyle w:val="FootnoteText"/>
      </w:pPr>
      <w:r>
        <w:rPr>
          <w:rStyle w:val="FootnoteReference"/>
        </w:rPr>
        <w:footnoteRef/>
      </w:r>
      <w:r>
        <w:t xml:space="preserve"> Brownell et al., </w:t>
      </w:r>
      <w:r w:rsidRPr="00EF0FD2">
        <w:rPr>
          <w:i/>
        </w:rPr>
        <w:t>supra</w:t>
      </w:r>
      <w:r>
        <w:t xml:space="preserve"> note </w:t>
      </w:r>
      <w:r>
        <w:fldChar w:fldCharType="begin"/>
      </w:r>
      <w:r>
        <w:instrText xml:space="preserve"> NOTEREF _Ref535499717 \h </w:instrText>
      </w:r>
      <w:r>
        <w:fldChar w:fldCharType="separate"/>
      </w:r>
      <w:r>
        <w:t>230</w:t>
      </w:r>
      <w:r>
        <w:fldChar w:fldCharType="end"/>
      </w:r>
      <w:r>
        <w:t>, at E8.</w:t>
      </w:r>
    </w:p>
  </w:footnote>
  <w:footnote w:id="240">
    <w:p w14:paraId="77CE8B6F" w14:textId="486BAB41" w:rsidR="00BF48DB" w:rsidRPr="00882C4F" w:rsidRDefault="00BF48DB" w:rsidP="00145CC8">
      <w:pPr>
        <w:pStyle w:val="FootnoteText"/>
      </w:pPr>
      <w:r>
        <w:rPr>
          <w:rStyle w:val="FootnoteReference"/>
        </w:rPr>
        <w:footnoteRef/>
      </w:r>
      <w:r>
        <w:t xml:space="preserve"> </w:t>
      </w:r>
      <w:r>
        <w:rPr>
          <w:i/>
        </w:rPr>
        <w:t>Id.</w:t>
      </w:r>
      <w:r>
        <w:t xml:space="preserve"> at E8-E9. For an example of productive efforts toward science communication, see </w:t>
      </w:r>
      <w:r w:rsidRPr="00D25985">
        <w:rPr>
          <w:i/>
        </w:rPr>
        <w:t xml:space="preserve">The </w:t>
      </w:r>
      <w:proofErr w:type="spellStart"/>
      <w:r w:rsidRPr="00D25985">
        <w:rPr>
          <w:i/>
        </w:rPr>
        <w:t>Alda</w:t>
      </w:r>
      <w:proofErr w:type="spellEnd"/>
      <w:r w:rsidRPr="00D25985">
        <w:rPr>
          <w:i/>
        </w:rPr>
        <w:t xml:space="preserve"> Center</w:t>
      </w:r>
      <w:r w:rsidRPr="00FF20FE">
        <w:t xml:space="preserve">, </w:t>
      </w:r>
      <w:r w:rsidRPr="00D25985">
        <w:rPr>
          <w:rFonts w:cs="Times New Roman (Body CS)"/>
          <w:smallCaps/>
        </w:rPr>
        <w:t xml:space="preserve">Alan </w:t>
      </w:r>
      <w:proofErr w:type="spellStart"/>
      <w:r w:rsidRPr="00D25985">
        <w:rPr>
          <w:rFonts w:cs="Times New Roman (Body CS)"/>
          <w:smallCaps/>
        </w:rPr>
        <w:t>Alda</w:t>
      </w:r>
      <w:proofErr w:type="spellEnd"/>
      <w:r w:rsidRPr="00D25985">
        <w:rPr>
          <w:rFonts w:cs="Times New Roman (Body CS)"/>
          <w:smallCaps/>
        </w:rPr>
        <w:t xml:space="preserve"> Ctr. for Comm. Sci.</w:t>
      </w:r>
      <w:r>
        <w:t xml:space="preserve">, </w:t>
      </w:r>
      <w:r w:rsidRPr="00683CC3">
        <w:t>https://www.aldacenter.org/get-started/about-</w:t>
      </w:r>
      <w:r w:rsidRPr="007F38AF">
        <w:t>us (last visited Feb. 1, 2019) (“</w:t>
      </w:r>
      <w:r w:rsidRPr="00683CC3">
        <w:t xml:space="preserve">The Alan </w:t>
      </w:r>
      <w:proofErr w:type="spellStart"/>
      <w:r w:rsidRPr="00683CC3">
        <w:t>Alda</w:t>
      </w:r>
      <w:proofErr w:type="spellEnd"/>
      <w:r w:rsidRPr="00683CC3">
        <w:t xml:space="preserve"> Center for Communicating Science empowers scientists and health professionals to communicate complex topics in clear, vivid, and engaging ways; leading to improved understanding by the public, media, patients, elected officials, and others outside of their own discipline.</w:t>
      </w:r>
      <w:r>
        <w:t>”).</w:t>
      </w:r>
    </w:p>
  </w:footnote>
  <w:footnote w:id="241">
    <w:p w14:paraId="49C8117E" w14:textId="6595A97D" w:rsidR="00BF48DB" w:rsidRPr="00CE08C0" w:rsidRDefault="00BF48DB" w:rsidP="00145CC8">
      <w:pPr>
        <w:pStyle w:val="FootnoteText"/>
      </w:pPr>
      <w:r>
        <w:rPr>
          <w:rStyle w:val="FootnoteReference"/>
        </w:rPr>
        <w:footnoteRef/>
      </w:r>
      <w:r>
        <w:t xml:space="preserve"> Erik Vance, </w:t>
      </w:r>
      <w:r>
        <w:rPr>
          <w:i/>
        </w:rPr>
        <w:t>Scientist as Star</w:t>
      </w:r>
      <w:r>
        <w:t xml:space="preserve">, 468 </w:t>
      </w:r>
      <w:r>
        <w:rPr>
          <w:smallCaps/>
        </w:rPr>
        <w:t>Nature 365, 365 (2010)</w:t>
      </w:r>
      <w:r>
        <w:t>.</w:t>
      </w:r>
    </w:p>
  </w:footnote>
  <w:footnote w:id="242">
    <w:p w14:paraId="1B53E578" w14:textId="77777777" w:rsidR="00BF48DB" w:rsidRPr="00230035" w:rsidRDefault="00BF48DB" w:rsidP="00145CC8">
      <w:pPr>
        <w:pStyle w:val="FootnoteText"/>
      </w:pPr>
      <w:r>
        <w:rPr>
          <w:rStyle w:val="FootnoteReference"/>
        </w:rPr>
        <w:footnoteRef/>
      </w:r>
      <w:r>
        <w:t xml:space="preserve"> </w:t>
      </w:r>
      <w:r>
        <w:rPr>
          <w:i/>
        </w:rPr>
        <w:t>Id.</w:t>
      </w:r>
    </w:p>
  </w:footnote>
  <w:footnote w:id="243">
    <w:p w14:paraId="7C96E623" w14:textId="77777777" w:rsidR="00BF48DB" w:rsidRPr="00B82DF2" w:rsidRDefault="00BF48DB" w:rsidP="00145CC8">
      <w:pPr>
        <w:pStyle w:val="FootnoteText"/>
      </w:pPr>
      <w:r>
        <w:rPr>
          <w:rStyle w:val="FootnoteReference"/>
        </w:rPr>
        <w:footnoteRef/>
      </w:r>
      <w:r>
        <w:t xml:space="preserve"> </w:t>
      </w:r>
      <w:r>
        <w:rPr>
          <w:i/>
        </w:rPr>
        <w:t>Id.</w:t>
      </w:r>
    </w:p>
  </w:footnote>
  <w:footnote w:id="244">
    <w:p w14:paraId="4407B9BC" w14:textId="77777777" w:rsidR="00BF48DB" w:rsidRDefault="00BF48DB" w:rsidP="00145CC8">
      <w:pPr>
        <w:pStyle w:val="FootnoteText"/>
      </w:pPr>
      <w:r>
        <w:rPr>
          <w:rStyle w:val="FootnoteReference"/>
        </w:rPr>
        <w:footnoteRef/>
      </w:r>
      <w:r>
        <w:t xml:space="preserve"> </w:t>
      </w:r>
      <w:r>
        <w:rPr>
          <w:smallCaps/>
        </w:rPr>
        <w:t xml:space="preserve">Randy Olson, Don’t be Such a Scientist: Talking Substance in the Age of Style </w:t>
      </w:r>
      <w:r>
        <w:t>30 (2009).</w:t>
      </w:r>
    </w:p>
  </w:footnote>
  <w:footnote w:id="245">
    <w:p w14:paraId="776D4639" w14:textId="77777777" w:rsidR="00BF48DB" w:rsidRPr="00724A3E" w:rsidRDefault="00BF48DB" w:rsidP="00145CC8">
      <w:pPr>
        <w:pStyle w:val="FootnoteText"/>
      </w:pPr>
      <w:r>
        <w:rPr>
          <w:rStyle w:val="FootnoteReference"/>
        </w:rPr>
        <w:footnoteRef/>
      </w:r>
      <w:r>
        <w:t xml:space="preserve"> </w:t>
      </w:r>
      <w:r>
        <w:rPr>
          <w:i/>
        </w:rPr>
        <w:t>Id.</w:t>
      </w:r>
    </w:p>
  </w:footnote>
  <w:footnote w:id="246">
    <w:p w14:paraId="362BEC3F" w14:textId="39940830" w:rsidR="00BF48DB" w:rsidRPr="006D69BA" w:rsidRDefault="00BF48DB" w:rsidP="00145CC8">
      <w:pPr>
        <w:pStyle w:val="FootnoteText"/>
      </w:pPr>
      <w:r>
        <w:rPr>
          <w:rStyle w:val="FootnoteReference"/>
        </w:rPr>
        <w:footnoteRef/>
      </w:r>
      <w:r>
        <w:t xml:space="preserve"> Stephen </w:t>
      </w:r>
      <w:proofErr w:type="spellStart"/>
      <w:r>
        <w:t>Buryani</w:t>
      </w:r>
      <w:proofErr w:type="spellEnd"/>
      <w:r>
        <w:t xml:space="preserve">, </w:t>
      </w:r>
      <w:r>
        <w:rPr>
          <w:i/>
        </w:rPr>
        <w:t xml:space="preserve">Is the Staggeringly Profitable Business of Scientific Publishing Bad </w:t>
      </w:r>
      <w:proofErr w:type="gramStart"/>
      <w:r>
        <w:rPr>
          <w:i/>
        </w:rPr>
        <w:t>Science?</w:t>
      </w:r>
      <w:r>
        <w:t>,</w:t>
      </w:r>
      <w:proofErr w:type="gramEnd"/>
      <w:r>
        <w:t xml:space="preserve"> </w:t>
      </w:r>
      <w:r>
        <w:rPr>
          <w:smallCaps/>
        </w:rPr>
        <w:t>Guardian</w:t>
      </w:r>
      <w:r>
        <w:t xml:space="preserve"> (June 27, 2017), </w:t>
      </w:r>
      <w:r w:rsidRPr="006D69BA">
        <w:t>https://www.theguardian.com/science/2017/jun/27/profitable-business-scientific-publishing-bad-for-science</w:t>
      </w:r>
      <w:r>
        <w:t>.</w:t>
      </w:r>
    </w:p>
  </w:footnote>
  <w:footnote w:id="247">
    <w:p w14:paraId="4E130A52" w14:textId="77777777" w:rsidR="00BF48DB" w:rsidRPr="008B185B" w:rsidRDefault="00BF48DB" w:rsidP="00145CC8">
      <w:pPr>
        <w:pStyle w:val="FootnoteText"/>
        <w:rPr>
          <w:i/>
        </w:rPr>
      </w:pPr>
      <w:r>
        <w:rPr>
          <w:rStyle w:val="FootnoteReference"/>
        </w:rPr>
        <w:footnoteRef/>
      </w:r>
      <w:r>
        <w:t xml:space="preserve"> </w:t>
      </w:r>
      <w:r>
        <w:rPr>
          <w:i/>
        </w:rPr>
        <w:t>Id.</w:t>
      </w:r>
    </w:p>
  </w:footnote>
  <w:footnote w:id="248">
    <w:p w14:paraId="4B7FD909" w14:textId="77777777" w:rsidR="00BF48DB" w:rsidRPr="008B185B" w:rsidRDefault="00BF48DB" w:rsidP="00145CC8">
      <w:pPr>
        <w:pStyle w:val="FootnoteText"/>
      </w:pPr>
      <w:r>
        <w:rPr>
          <w:rStyle w:val="FootnoteReference"/>
        </w:rPr>
        <w:footnoteRef/>
      </w:r>
      <w:r>
        <w:t xml:space="preserve"> </w:t>
      </w:r>
      <w:r>
        <w:rPr>
          <w:i/>
        </w:rPr>
        <w:t>Id.</w:t>
      </w:r>
    </w:p>
  </w:footnote>
  <w:footnote w:id="249">
    <w:p w14:paraId="02B601AB" w14:textId="77777777" w:rsidR="00BF48DB" w:rsidRPr="008B185B" w:rsidRDefault="00BF48DB" w:rsidP="00145CC8">
      <w:pPr>
        <w:pStyle w:val="FootnoteText"/>
      </w:pPr>
      <w:r>
        <w:rPr>
          <w:rStyle w:val="FootnoteReference"/>
        </w:rPr>
        <w:footnoteRef/>
      </w:r>
      <w:r>
        <w:t xml:space="preserve"> </w:t>
      </w:r>
      <w:r>
        <w:rPr>
          <w:i/>
        </w:rPr>
        <w:t>Id.</w:t>
      </w:r>
    </w:p>
  </w:footnote>
  <w:footnote w:id="250">
    <w:p w14:paraId="1B6AB6F8" w14:textId="77777777" w:rsidR="00BF48DB" w:rsidRPr="00C7098D" w:rsidRDefault="00BF48DB" w:rsidP="00145CC8">
      <w:pPr>
        <w:pStyle w:val="FootnoteText"/>
      </w:pPr>
      <w:r>
        <w:rPr>
          <w:rStyle w:val="FootnoteReference"/>
        </w:rPr>
        <w:footnoteRef/>
      </w:r>
      <w:r>
        <w:t xml:space="preserve"> Walter </w:t>
      </w:r>
      <w:proofErr w:type="spellStart"/>
      <w:r>
        <w:t>Klyce</w:t>
      </w:r>
      <w:proofErr w:type="spellEnd"/>
      <w:r>
        <w:t xml:space="preserve"> &amp; Edward Feller, </w:t>
      </w:r>
      <w:r>
        <w:rPr>
          <w:i/>
        </w:rPr>
        <w:t>Junk Science for Sale: Sham Journals Proliferating Online</w:t>
      </w:r>
      <w:r>
        <w:t xml:space="preserve">, 100 R.I. </w:t>
      </w:r>
      <w:r>
        <w:rPr>
          <w:smallCaps/>
        </w:rPr>
        <w:t>Med. J.</w:t>
      </w:r>
      <w:r>
        <w:t xml:space="preserve"> 27, 27 (2017).</w:t>
      </w:r>
    </w:p>
  </w:footnote>
  <w:footnote w:id="251">
    <w:p w14:paraId="67FA0443" w14:textId="64B2B773" w:rsidR="00BF48DB" w:rsidRPr="00B67005" w:rsidRDefault="00BF48DB" w:rsidP="00145CC8">
      <w:pPr>
        <w:pStyle w:val="FootnoteText"/>
      </w:pPr>
      <w:r>
        <w:rPr>
          <w:rStyle w:val="FootnoteReference"/>
        </w:rPr>
        <w:footnoteRef/>
      </w:r>
      <w:r>
        <w:t xml:space="preserve"> </w:t>
      </w:r>
      <w:r>
        <w:rPr>
          <w:i/>
        </w:rPr>
        <w:t>Id.</w:t>
      </w:r>
      <w:r>
        <w:t xml:space="preserve"> Some journals claim to peer review papers and offer little to no peer review at all. </w:t>
      </w:r>
      <w:r>
        <w:rPr>
          <w:i/>
        </w:rPr>
        <w:t>See Some Science Journals That Claim to Peer Review Papers Do Not Do S</w:t>
      </w:r>
      <w:r w:rsidRPr="00616995">
        <w:rPr>
          <w:i/>
        </w:rPr>
        <w:t>o</w:t>
      </w:r>
      <w:r>
        <w:t xml:space="preserve">, </w:t>
      </w:r>
      <w:r>
        <w:rPr>
          <w:smallCaps/>
        </w:rPr>
        <w:t>Economist</w:t>
      </w:r>
      <w:r>
        <w:t xml:space="preserve"> (June 23, 2018), </w:t>
      </w:r>
      <w:r w:rsidRPr="00B67005">
        <w:t>https://www.economist.com/science-and-technology/2018/06/23/some-science-journals-that-claim-to-peer-review-papers-do-not-do-so</w:t>
      </w:r>
      <w:r>
        <w:t xml:space="preserve">. There are an estimated 400,000 articles currently published in questionable journals. </w:t>
      </w:r>
      <w:r>
        <w:rPr>
          <w:i/>
        </w:rPr>
        <w:t>Id.</w:t>
      </w:r>
    </w:p>
  </w:footnote>
  <w:footnote w:id="252">
    <w:p w14:paraId="7D8269B5" w14:textId="5FAE38C9" w:rsidR="00BF48DB" w:rsidRPr="00A50FC6" w:rsidRDefault="00BF48DB" w:rsidP="00145CC8">
      <w:pPr>
        <w:pStyle w:val="FootnoteText"/>
      </w:pPr>
      <w:r>
        <w:rPr>
          <w:rStyle w:val="FootnoteReference"/>
        </w:rPr>
        <w:footnoteRef/>
      </w:r>
      <w:r>
        <w:t xml:space="preserve"> </w:t>
      </w:r>
      <w:proofErr w:type="spellStart"/>
      <w:r>
        <w:t>Klyce</w:t>
      </w:r>
      <w:proofErr w:type="spellEnd"/>
      <w:r>
        <w:t xml:space="preserve"> &amp; Feller, </w:t>
      </w:r>
      <w:r>
        <w:rPr>
          <w:i/>
        </w:rPr>
        <w:t xml:space="preserve">supra </w:t>
      </w:r>
      <w:r>
        <w:t xml:space="preserve">note </w:t>
      </w:r>
      <w:r>
        <w:fldChar w:fldCharType="begin"/>
      </w:r>
      <w:r>
        <w:instrText xml:space="preserve"> NOTEREF _Ref535499881 \h </w:instrText>
      </w:r>
      <w:r>
        <w:fldChar w:fldCharType="separate"/>
      </w:r>
      <w:r>
        <w:t>249</w:t>
      </w:r>
      <w:r>
        <w:fldChar w:fldCharType="end"/>
      </w:r>
      <w:r>
        <w:t xml:space="preserve">, at 28. </w:t>
      </w:r>
      <w:r>
        <w:rPr>
          <w:i/>
        </w:rPr>
        <w:t>See also</w:t>
      </w:r>
      <w:r>
        <w:t xml:space="preserve"> Larissa </w:t>
      </w:r>
      <w:proofErr w:type="spellStart"/>
      <w:r>
        <w:t>Shamseer</w:t>
      </w:r>
      <w:proofErr w:type="spellEnd"/>
      <w:r>
        <w:t xml:space="preserve"> et al., </w:t>
      </w:r>
      <w:r>
        <w:rPr>
          <w:i/>
        </w:rPr>
        <w:t>Potential Predatory and Legitimate Biomedical Journals: Can you Tell the Difference? A Cross-Sectional Comparison</w:t>
      </w:r>
      <w:r>
        <w:t xml:space="preserve">, 15 </w:t>
      </w:r>
      <w:r>
        <w:rPr>
          <w:smallCaps/>
        </w:rPr>
        <w:t>BMC Med.</w:t>
      </w:r>
      <w:r>
        <w:t xml:space="preserve"> 28 (2017).</w:t>
      </w:r>
    </w:p>
  </w:footnote>
  <w:footnote w:id="253">
    <w:p w14:paraId="0F1E5020" w14:textId="7337BBFF" w:rsidR="00BF48DB" w:rsidRPr="00651539" w:rsidRDefault="00BF48DB" w:rsidP="00145CC8">
      <w:pPr>
        <w:pStyle w:val="FootnoteText"/>
      </w:pPr>
      <w:r>
        <w:rPr>
          <w:rStyle w:val="FootnoteReference"/>
        </w:rPr>
        <w:footnoteRef/>
      </w:r>
      <w:r>
        <w:t xml:space="preserve"> </w:t>
      </w:r>
      <w:r>
        <w:rPr>
          <w:i/>
        </w:rPr>
        <w:t>Id.</w:t>
      </w:r>
      <w:r>
        <w:t xml:space="preserve"> at 29; David Moher &amp; Ester Moher, </w:t>
      </w:r>
      <w:r>
        <w:rPr>
          <w:i/>
        </w:rPr>
        <w:t>Stop Predatory Publishers Now: Act Collaboratively</w:t>
      </w:r>
      <w:r>
        <w:t xml:space="preserve">, 164 </w:t>
      </w:r>
      <w:r>
        <w:rPr>
          <w:smallCaps/>
        </w:rPr>
        <w:t>Ann. Internal Med.</w:t>
      </w:r>
      <w:r>
        <w:t xml:space="preserve"> 616 (2016).</w:t>
      </w:r>
    </w:p>
  </w:footnote>
  <w:footnote w:id="254">
    <w:p w14:paraId="18F48969" w14:textId="77777777" w:rsidR="00BF48DB" w:rsidRPr="008E645C" w:rsidRDefault="00BF48DB" w:rsidP="00145CC8">
      <w:pPr>
        <w:pStyle w:val="FootnoteText"/>
      </w:pPr>
      <w:r>
        <w:rPr>
          <w:rStyle w:val="FootnoteReference"/>
        </w:rPr>
        <w:footnoteRef/>
      </w:r>
      <w:r>
        <w:t xml:space="preserve"> </w:t>
      </w:r>
      <w:r>
        <w:rPr>
          <w:i/>
        </w:rPr>
        <w:t>See</w:t>
      </w:r>
      <w:r>
        <w:t xml:space="preserve"> Roger Watson, </w:t>
      </w:r>
      <w:r>
        <w:rPr>
          <w:i/>
        </w:rPr>
        <w:t>Beall’s List of Predatory Open Access Journals: RIP</w:t>
      </w:r>
      <w:r>
        <w:t xml:space="preserve">, 4 </w:t>
      </w:r>
      <w:r>
        <w:rPr>
          <w:smallCaps/>
        </w:rPr>
        <w:t>Nursing Open</w:t>
      </w:r>
      <w:r>
        <w:t xml:space="preserve"> 60, 60 (2017).</w:t>
      </w:r>
    </w:p>
  </w:footnote>
  <w:footnote w:id="255">
    <w:p w14:paraId="784833F1" w14:textId="39C564A4" w:rsidR="00BF48DB" w:rsidRPr="00CE2767" w:rsidRDefault="00BF48DB" w:rsidP="00145CC8">
      <w:pPr>
        <w:pStyle w:val="FootnoteText"/>
      </w:pPr>
      <w:r>
        <w:rPr>
          <w:rStyle w:val="FootnoteReference"/>
        </w:rPr>
        <w:footnoteRef/>
      </w:r>
      <w:r>
        <w:t xml:space="preserve"> Rick Anderson, </w:t>
      </w:r>
      <w:r>
        <w:rPr>
          <w:i/>
        </w:rPr>
        <w:t>Cabell’s New Predatory Journal Blacklist: A Review</w:t>
      </w:r>
      <w:r>
        <w:t xml:space="preserve">, </w:t>
      </w:r>
      <w:r>
        <w:rPr>
          <w:smallCaps/>
        </w:rPr>
        <w:t>Scholarly Kitchen</w:t>
      </w:r>
      <w:r>
        <w:t xml:space="preserve"> (July 25, 2017), </w:t>
      </w:r>
      <w:r w:rsidRPr="00CE2767">
        <w:t>https://scholarlykitchen.sspnet.org/2017/07/25/cabells-new-predatory-journal-blacklist-review/</w:t>
      </w:r>
      <w:r>
        <w:t>.</w:t>
      </w:r>
    </w:p>
  </w:footnote>
  <w:footnote w:id="256">
    <w:p w14:paraId="7208EB07" w14:textId="77777777" w:rsidR="00BF48DB" w:rsidRPr="00D418AC" w:rsidRDefault="00BF48DB" w:rsidP="00D13A09">
      <w:pPr>
        <w:pStyle w:val="FootnoteText"/>
      </w:pPr>
      <w:r>
        <w:rPr>
          <w:rStyle w:val="FootnoteReference"/>
        </w:rPr>
        <w:footnoteRef/>
      </w:r>
      <w:r>
        <w:t xml:space="preserve"> </w:t>
      </w:r>
      <w:r>
        <w:rPr>
          <w:smallCaps/>
        </w:rPr>
        <w:t>Frank Rose, Information Age Economy: The Economics, Concept, and Design of Information Intermediaries</w:t>
      </w:r>
      <w:r>
        <w:t xml:space="preserve"> 76 (1999).</w:t>
      </w:r>
    </w:p>
  </w:footnote>
  <w:footnote w:id="257">
    <w:p w14:paraId="5B2D71AA" w14:textId="77777777" w:rsidR="00BF48DB" w:rsidRDefault="00BF48DB" w:rsidP="00D13A09">
      <w:pPr>
        <w:pStyle w:val="FootnoteText"/>
      </w:pPr>
      <w:r>
        <w:rPr>
          <w:rStyle w:val="FootnoteReference"/>
        </w:rPr>
        <w:footnoteRef/>
      </w:r>
      <w:r>
        <w:t xml:space="preserve"> Andrew D. </w:t>
      </w:r>
      <w:proofErr w:type="spellStart"/>
      <w:r>
        <w:t>Bradt</w:t>
      </w:r>
      <w:proofErr w:type="spellEnd"/>
      <w:r>
        <w:t xml:space="preserve"> &amp; D. Theodore Rave, </w:t>
      </w:r>
      <w:r>
        <w:rPr>
          <w:i/>
        </w:rPr>
        <w:t xml:space="preserve">The Information-Forcing Role of the Judge in Multidistrict </w:t>
      </w:r>
      <w:r w:rsidRPr="00D25985">
        <w:rPr>
          <w:i/>
        </w:rPr>
        <w:t>Information</w:t>
      </w:r>
      <w:r>
        <w:t xml:space="preserve">, 105 </w:t>
      </w:r>
      <w:r>
        <w:rPr>
          <w:smallCaps/>
        </w:rPr>
        <w:t xml:space="preserve">Calif. L. Rev. </w:t>
      </w:r>
      <w:r>
        <w:t xml:space="preserve">1259, </w:t>
      </w:r>
      <w:r w:rsidRPr="00DA1E3F">
        <w:t>1278</w:t>
      </w:r>
      <w:r>
        <w:t xml:space="preserve">-80 (2017); Janine Hiller et al., </w:t>
      </w:r>
      <w:r>
        <w:rPr>
          <w:i/>
        </w:rPr>
        <w:t>Pocket Protection</w:t>
      </w:r>
      <w:r>
        <w:t xml:space="preserve">, </w:t>
      </w:r>
      <w:r w:rsidRPr="00AC7B0A">
        <w:t xml:space="preserve">45 </w:t>
      </w:r>
      <w:r w:rsidRPr="00AC7B0A">
        <w:rPr>
          <w:smallCaps/>
        </w:rPr>
        <w:t>Am. Bus. L.J.</w:t>
      </w:r>
      <w:r w:rsidRPr="00AC7B0A">
        <w:t xml:space="preserve"> 417</w:t>
      </w:r>
      <w:r>
        <w:t xml:space="preserve">, 439 (2008).  </w:t>
      </w:r>
    </w:p>
  </w:footnote>
  <w:footnote w:id="258">
    <w:p w14:paraId="796E65FD" w14:textId="49EAC305" w:rsidR="00BF48DB" w:rsidRDefault="00BF48DB" w:rsidP="00D13A09">
      <w:pPr>
        <w:pStyle w:val="FootnoteText"/>
      </w:pPr>
      <w:r>
        <w:rPr>
          <w:rStyle w:val="FootnoteReference"/>
        </w:rPr>
        <w:footnoteRef/>
      </w:r>
      <w:r>
        <w:t xml:space="preserve"> Lassen, </w:t>
      </w:r>
      <w:r>
        <w:rPr>
          <w:i/>
        </w:rPr>
        <w:t xml:space="preserve">supra </w:t>
      </w:r>
      <w:r>
        <w:t xml:space="preserve">note </w:t>
      </w:r>
      <w:r>
        <w:fldChar w:fldCharType="begin"/>
      </w:r>
      <w:r>
        <w:instrText xml:space="preserve"> NOTEREF _Ref535500042 \h </w:instrText>
      </w:r>
      <w:r>
        <w:fldChar w:fldCharType="separate"/>
      </w:r>
      <w:r>
        <w:t>166</w:t>
      </w:r>
      <w:r>
        <w:fldChar w:fldCharType="end"/>
      </w:r>
      <w:r>
        <w:t>, at 509-11.</w:t>
      </w:r>
    </w:p>
  </w:footnote>
  <w:footnote w:id="259">
    <w:p w14:paraId="1B4B95F2" w14:textId="77777777" w:rsidR="00BF48DB" w:rsidRPr="009867E8" w:rsidRDefault="00BF48DB" w:rsidP="00D13A09">
      <w:pPr>
        <w:pStyle w:val="FootnoteText"/>
      </w:pPr>
      <w:r>
        <w:rPr>
          <w:rStyle w:val="FootnoteReference"/>
        </w:rPr>
        <w:footnoteRef/>
      </w:r>
      <w:r>
        <w:t xml:space="preserve"> </w:t>
      </w:r>
      <w:r>
        <w:rPr>
          <w:i/>
        </w:rPr>
        <w:t>Id.</w:t>
      </w:r>
      <w:r>
        <w:t xml:space="preserve"> at 507.</w:t>
      </w:r>
    </w:p>
  </w:footnote>
  <w:footnote w:id="260">
    <w:p w14:paraId="3DC42248" w14:textId="3734A8BE" w:rsidR="00BF48DB" w:rsidRDefault="00BF48DB" w:rsidP="00D13A09">
      <w:pPr>
        <w:pStyle w:val="FootnoteText"/>
      </w:pPr>
      <w:r>
        <w:rPr>
          <w:rStyle w:val="FootnoteReference"/>
        </w:rPr>
        <w:footnoteRef/>
      </w:r>
      <w:r>
        <w:t xml:space="preserve"> </w:t>
      </w:r>
      <w:r w:rsidRPr="00B34F3D">
        <w:t>Steven Woloshin</w:t>
      </w:r>
      <w:r>
        <w:t xml:space="preserve"> et al., </w:t>
      </w:r>
      <w:r>
        <w:rPr>
          <w:i/>
        </w:rPr>
        <w:t xml:space="preserve">Press Releases by Academic Medical Centers: Not So </w:t>
      </w:r>
      <w:proofErr w:type="gramStart"/>
      <w:r>
        <w:rPr>
          <w:i/>
        </w:rPr>
        <w:t>Academic?</w:t>
      </w:r>
      <w:r>
        <w:t>,</w:t>
      </w:r>
      <w:proofErr w:type="gramEnd"/>
      <w:r>
        <w:t xml:space="preserve"> 150 </w:t>
      </w:r>
      <w:r>
        <w:rPr>
          <w:smallCaps/>
        </w:rPr>
        <w:t xml:space="preserve">Ann. Internal Med. </w:t>
      </w:r>
      <w:r>
        <w:t>613 (2009).</w:t>
      </w:r>
    </w:p>
  </w:footnote>
  <w:footnote w:id="261">
    <w:p w14:paraId="2863F4EE" w14:textId="77777777" w:rsidR="00BF48DB" w:rsidRPr="005902AD" w:rsidRDefault="00BF48DB" w:rsidP="00D13A09">
      <w:pPr>
        <w:pStyle w:val="FootnoteText"/>
      </w:pPr>
      <w:r>
        <w:rPr>
          <w:rStyle w:val="FootnoteReference"/>
        </w:rPr>
        <w:footnoteRef/>
      </w:r>
      <w:r>
        <w:t xml:space="preserve"> </w:t>
      </w:r>
      <w:r>
        <w:rPr>
          <w:i/>
        </w:rPr>
        <w:t>Id.</w:t>
      </w:r>
      <w:r>
        <w:t xml:space="preserve"> at 615.</w:t>
      </w:r>
    </w:p>
  </w:footnote>
  <w:footnote w:id="262">
    <w:p w14:paraId="1DB820F6" w14:textId="77777777" w:rsidR="00BF48DB" w:rsidRPr="009813E0" w:rsidRDefault="00BF48DB" w:rsidP="00D13A09">
      <w:pPr>
        <w:pStyle w:val="FootnoteText"/>
      </w:pPr>
      <w:r>
        <w:rPr>
          <w:rStyle w:val="FootnoteReference"/>
        </w:rPr>
        <w:footnoteRef/>
      </w:r>
      <w:r>
        <w:t xml:space="preserve"> </w:t>
      </w:r>
      <w:r>
        <w:rPr>
          <w:i/>
        </w:rPr>
        <w:t>Id.</w:t>
      </w:r>
    </w:p>
  </w:footnote>
  <w:footnote w:id="263">
    <w:p w14:paraId="3BD53052" w14:textId="77777777" w:rsidR="00BF48DB" w:rsidRPr="00707F7F" w:rsidRDefault="00BF48DB" w:rsidP="00D13A09">
      <w:pPr>
        <w:pStyle w:val="FootnoteText"/>
      </w:pPr>
      <w:r>
        <w:rPr>
          <w:rStyle w:val="FootnoteReference"/>
        </w:rPr>
        <w:footnoteRef/>
      </w:r>
      <w:r>
        <w:t xml:space="preserve"> Luigi </w:t>
      </w:r>
      <w:proofErr w:type="spellStart"/>
      <w:r>
        <w:t>Saccà</w:t>
      </w:r>
      <w:proofErr w:type="spellEnd"/>
      <w:r>
        <w:t xml:space="preserve">, </w:t>
      </w:r>
      <w:r>
        <w:rPr>
          <w:i/>
        </w:rPr>
        <w:t>The Uncontrolled Clinical Trial: Scientific, Ethical, and Practical Reasons for Being</w:t>
      </w:r>
      <w:r>
        <w:t xml:space="preserve">, 5 </w:t>
      </w:r>
      <w:r>
        <w:rPr>
          <w:smallCaps/>
        </w:rPr>
        <w:t>Internal &amp; Emergency Med.</w:t>
      </w:r>
      <w:r>
        <w:t xml:space="preserve"> 201, 201 (2010).</w:t>
      </w:r>
    </w:p>
  </w:footnote>
  <w:footnote w:id="264">
    <w:p w14:paraId="7CAB810B" w14:textId="77777777" w:rsidR="00BF48DB" w:rsidRPr="008A3306" w:rsidRDefault="00BF48DB" w:rsidP="00D13A09">
      <w:pPr>
        <w:pStyle w:val="FootnoteText"/>
      </w:pPr>
      <w:r>
        <w:rPr>
          <w:rStyle w:val="FootnoteReference"/>
        </w:rPr>
        <w:footnoteRef/>
      </w:r>
      <w:r>
        <w:t xml:space="preserve"> </w:t>
      </w:r>
      <w:r>
        <w:rPr>
          <w:i/>
        </w:rPr>
        <w:t>Id.</w:t>
      </w:r>
      <w:r>
        <w:t xml:space="preserve"> at 203.</w:t>
      </w:r>
    </w:p>
  </w:footnote>
  <w:footnote w:id="265">
    <w:p w14:paraId="5A82793B" w14:textId="77777777" w:rsidR="00BF48DB" w:rsidRPr="00B34F3D" w:rsidRDefault="00BF48DB" w:rsidP="00D13A09">
      <w:pPr>
        <w:pStyle w:val="FootnoteText"/>
      </w:pPr>
      <w:r>
        <w:rPr>
          <w:rStyle w:val="FootnoteReference"/>
        </w:rPr>
        <w:footnoteRef/>
      </w:r>
      <w:r>
        <w:t xml:space="preserve"> </w:t>
      </w:r>
      <w:r>
        <w:rPr>
          <w:i/>
        </w:rPr>
        <w:t>Id.</w:t>
      </w:r>
    </w:p>
  </w:footnote>
  <w:footnote w:id="266">
    <w:p w14:paraId="5A71BE8C" w14:textId="77777777" w:rsidR="00BF48DB" w:rsidRPr="003B490C" w:rsidRDefault="00BF48DB" w:rsidP="00D13A09">
      <w:pPr>
        <w:pStyle w:val="FootnoteText"/>
      </w:pPr>
      <w:r>
        <w:rPr>
          <w:rStyle w:val="FootnoteReference"/>
        </w:rPr>
        <w:footnoteRef/>
      </w:r>
      <w:r>
        <w:t xml:space="preserve"> </w:t>
      </w:r>
      <w:r>
        <w:rPr>
          <w:i/>
        </w:rPr>
        <w:t>Id.</w:t>
      </w:r>
    </w:p>
  </w:footnote>
  <w:footnote w:id="267">
    <w:p w14:paraId="58A7F333" w14:textId="2D51EFB9" w:rsidR="00BF48DB" w:rsidRDefault="00BF48DB" w:rsidP="00D13A09">
      <w:pPr>
        <w:pStyle w:val="FootnoteText"/>
      </w:pPr>
      <w:r>
        <w:rPr>
          <w:rStyle w:val="FootnoteReference"/>
        </w:rPr>
        <w:footnoteRef/>
      </w:r>
      <w:r>
        <w:t xml:space="preserve"> </w:t>
      </w:r>
      <w:proofErr w:type="spellStart"/>
      <w:r>
        <w:t>Petroc</w:t>
      </w:r>
      <w:proofErr w:type="spellEnd"/>
      <w:r>
        <w:t xml:space="preserve"> Sumner</w:t>
      </w:r>
      <w:r w:rsidRPr="00044AC0">
        <w:t xml:space="preserve"> et al., </w:t>
      </w:r>
      <w:r w:rsidRPr="00D25985">
        <w:rPr>
          <w:i/>
        </w:rPr>
        <w:t xml:space="preserve">The Association Between Exaggeration in </w:t>
      </w:r>
      <w:proofErr w:type="gramStart"/>
      <w:r w:rsidRPr="00D25985">
        <w:rPr>
          <w:i/>
        </w:rPr>
        <w:t>Health Related</w:t>
      </w:r>
      <w:proofErr w:type="gramEnd"/>
      <w:r w:rsidRPr="00D25985">
        <w:rPr>
          <w:i/>
        </w:rPr>
        <w:t xml:space="preserve"> Science News and Academic Press Releases: Retrospective Observational Study</w:t>
      </w:r>
      <w:r>
        <w:t xml:space="preserve">, 349 </w:t>
      </w:r>
      <w:r>
        <w:rPr>
          <w:smallCaps/>
        </w:rPr>
        <w:t>BMJ</w:t>
      </w:r>
      <w:r>
        <w:t xml:space="preserve"> 1, 1</w:t>
      </w:r>
      <w:r w:rsidRPr="00044AC0">
        <w:t xml:space="preserve"> (2014).</w:t>
      </w:r>
    </w:p>
  </w:footnote>
  <w:footnote w:id="268">
    <w:p w14:paraId="3E29CC69" w14:textId="0F08DB46" w:rsidR="00BF48DB" w:rsidRPr="00BF7A25" w:rsidRDefault="00BF48DB" w:rsidP="00D13A09">
      <w:pPr>
        <w:pStyle w:val="FootnoteText"/>
      </w:pPr>
      <w:r>
        <w:rPr>
          <w:rStyle w:val="FootnoteReference"/>
        </w:rPr>
        <w:footnoteRef/>
      </w:r>
      <w:r>
        <w:t xml:space="preserve"> </w:t>
      </w:r>
      <w:r>
        <w:rPr>
          <w:i/>
        </w:rPr>
        <w:t>Id.</w:t>
      </w:r>
      <w:r>
        <w:t xml:space="preserve"> at 3.</w:t>
      </w:r>
    </w:p>
  </w:footnote>
  <w:footnote w:id="269">
    <w:p w14:paraId="6493ACA9" w14:textId="6C0A5E54" w:rsidR="00BF48DB" w:rsidRPr="00BF7A25" w:rsidRDefault="00BF48DB" w:rsidP="00D13A09">
      <w:pPr>
        <w:pStyle w:val="FootnoteText"/>
      </w:pPr>
      <w:r>
        <w:rPr>
          <w:rStyle w:val="FootnoteReference"/>
        </w:rPr>
        <w:footnoteRef/>
      </w:r>
      <w:r>
        <w:t xml:space="preserve"> </w:t>
      </w:r>
      <w:r>
        <w:rPr>
          <w:i/>
        </w:rPr>
        <w:t>Id.</w:t>
      </w:r>
    </w:p>
  </w:footnote>
  <w:footnote w:id="270">
    <w:p w14:paraId="1053CB67" w14:textId="6DB4C0F0" w:rsidR="00BF48DB" w:rsidRPr="00874FFB" w:rsidRDefault="00BF48DB" w:rsidP="00D13A09">
      <w:pPr>
        <w:pStyle w:val="FootnoteText"/>
      </w:pPr>
      <w:r>
        <w:rPr>
          <w:rStyle w:val="FootnoteReference"/>
        </w:rPr>
        <w:footnoteRef/>
      </w:r>
      <w:r>
        <w:t xml:space="preserve"> </w:t>
      </w:r>
      <w:r>
        <w:rPr>
          <w:i/>
        </w:rPr>
        <w:t>Id.</w:t>
      </w:r>
    </w:p>
  </w:footnote>
  <w:footnote w:id="271">
    <w:p w14:paraId="79AEF97E" w14:textId="3B66600D" w:rsidR="00BF48DB" w:rsidRPr="0088614F" w:rsidRDefault="00BF48DB" w:rsidP="00D13A09">
      <w:pPr>
        <w:pStyle w:val="FootnoteText"/>
      </w:pPr>
      <w:r>
        <w:rPr>
          <w:rStyle w:val="FootnoteReference"/>
        </w:rPr>
        <w:footnoteRef/>
      </w:r>
      <w:r>
        <w:t xml:space="preserve"> Taylor et al., </w:t>
      </w:r>
      <w:r>
        <w:rPr>
          <w:i/>
        </w:rPr>
        <w:t xml:space="preserve">supra </w:t>
      </w:r>
      <w:r>
        <w:t xml:space="preserve">note </w:t>
      </w:r>
      <w:r>
        <w:fldChar w:fldCharType="begin"/>
      </w:r>
      <w:r>
        <w:instrText xml:space="preserve"> NOTEREF _Ref535345553 \h </w:instrText>
      </w:r>
      <w:r>
        <w:fldChar w:fldCharType="separate"/>
      </w:r>
      <w:r>
        <w:t>228</w:t>
      </w:r>
      <w:r>
        <w:fldChar w:fldCharType="end"/>
      </w:r>
      <w:r>
        <w:t xml:space="preserve">, at 2 (examining S.C. Larsson &amp; A. </w:t>
      </w:r>
      <w:proofErr w:type="spellStart"/>
      <w:r>
        <w:t>Wolk</w:t>
      </w:r>
      <w:proofErr w:type="spellEnd"/>
      <w:r>
        <w:t xml:space="preserve">, </w:t>
      </w:r>
      <w:r>
        <w:rPr>
          <w:i/>
        </w:rPr>
        <w:t>Red and Processed Meat Consumption and Risk of Pancreatic Cancer: Meta-Analysis of Prospective Studies</w:t>
      </w:r>
      <w:r>
        <w:t xml:space="preserve">, 106 </w:t>
      </w:r>
      <w:r>
        <w:rPr>
          <w:smallCaps/>
        </w:rPr>
        <w:t>Brit. J. Cancer</w:t>
      </w:r>
      <w:r>
        <w:t xml:space="preserve"> 603 (2012)). For a summary of the purpose of a meta-analysis, see </w:t>
      </w:r>
      <w:r>
        <w:rPr>
          <w:i/>
        </w:rPr>
        <w:t xml:space="preserve">supra </w:t>
      </w:r>
      <w:r>
        <w:t xml:space="preserve">note </w:t>
      </w:r>
      <w:r>
        <w:fldChar w:fldCharType="begin"/>
      </w:r>
      <w:r>
        <w:instrText xml:space="preserve"> NOTEREF _Ref535500694 \h </w:instrText>
      </w:r>
      <w:r>
        <w:fldChar w:fldCharType="separate"/>
      </w:r>
      <w:r>
        <w:t>33</w:t>
      </w:r>
      <w:r>
        <w:fldChar w:fldCharType="end"/>
      </w:r>
      <w:r>
        <w:t>.</w:t>
      </w:r>
    </w:p>
  </w:footnote>
  <w:footnote w:id="272">
    <w:p w14:paraId="48A65720" w14:textId="2360F5C4" w:rsidR="00BF48DB" w:rsidRPr="00842FF7" w:rsidRDefault="00BF48DB" w:rsidP="00D13A09">
      <w:pPr>
        <w:pStyle w:val="FootnoteText"/>
      </w:pPr>
      <w:r>
        <w:rPr>
          <w:rStyle w:val="FootnoteReference"/>
        </w:rPr>
        <w:footnoteRef/>
      </w:r>
      <w:r>
        <w:t xml:space="preserve"> </w:t>
      </w:r>
      <w:r>
        <w:rPr>
          <w:i/>
        </w:rPr>
        <w:t>Id.</w:t>
      </w:r>
      <w:r>
        <w:t xml:space="preserve"> Furthermore, a large original research study on processed meat consumption and pancreatic cancer directly contradicted the findings of the meta-analysis </w:t>
      </w:r>
      <w:r>
        <w:rPr>
          <w:i/>
        </w:rPr>
        <w:t>Id.</w:t>
      </w:r>
      <w:r>
        <w:t xml:space="preserve"> (citing S. </w:t>
      </w:r>
      <w:proofErr w:type="spellStart"/>
      <w:r>
        <w:t>Rohrmann</w:t>
      </w:r>
      <w:proofErr w:type="spellEnd"/>
      <w:r>
        <w:t xml:space="preserve"> et al., </w:t>
      </w:r>
      <w:r w:rsidRPr="001D0A72">
        <w:rPr>
          <w:i/>
        </w:rPr>
        <w:t>Meat and Fish Consumption and Risk of Pancreatic Cancer: Results from the European Prospective Investigation into Cancer and Nutrition</w:t>
      </w:r>
      <w:r>
        <w:t xml:space="preserve">, 132 </w:t>
      </w:r>
      <w:r>
        <w:rPr>
          <w:smallCaps/>
        </w:rPr>
        <w:t>Int’l J. Cancer 617 (2013)).</w:t>
      </w:r>
    </w:p>
  </w:footnote>
  <w:footnote w:id="273">
    <w:p w14:paraId="3069464F" w14:textId="617FB660" w:rsidR="00BF48DB" w:rsidRPr="00A9024F" w:rsidRDefault="00BF48DB" w:rsidP="00D13A09">
      <w:pPr>
        <w:pStyle w:val="FootnoteText"/>
      </w:pPr>
      <w:r>
        <w:rPr>
          <w:rStyle w:val="FootnoteReference"/>
        </w:rPr>
        <w:footnoteRef/>
      </w:r>
      <w:r>
        <w:t xml:space="preserve"> Taylor et al., </w:t>
      </w:r>
      <w:r>
        <w:rPr>
          <w:i/>
        </w:rPr>
        <w:t xml:space="preserve">supra </w:t>
      </w:r>
      <w:r>
        <w:t xml:space="preserve">note </w:t>
      </w:r>
      <w:r>
        <w:fldChar w:fldCharType="begin"/>
      </w:r>
      <w:r>
        <w:instrText xml:space="preserve"> NOTEREF _Ref535345553 \h </w:instrText>
      </w:r>
      <w:r>
        <w:fldChar w:fldCharType="separate"/>
      </w:r>
      <w:r>
        <w:t>228</w:t>
      </w:r>
      <w:r>
        <w:fldChar w:fldCharType="end"/>
      </w:r>
      <w:r>
        <w:t>, at 3.</w:t>
      </w:r>
    </w:p>
  </w:footnote>
  <w:footnote w:id="274">
    <w:p w14:paraId="51BB1CD0" w14:textId="77777777" w:rsidR="00BF48DB" w:rsidRPr="00247B17" w:rsidRDefault="00BF48DB" w:rsidP="00D13A09">
      <w:pPr>
        <w:pStyle w:val="FootnoteText"/>
      </w:pPr>
      <w:r>
        <w:rPr>
          <w:rStyle w:val="FootnoteReference"/>
        </w:rPr>
        <w:footnoteRef/>
      </w:r>
      <w:r>
        <w:t xml:space="preserve"> The three original secondary sources were a journal press release, an article in the BBC, and a website on NHS choices, the official website of the National Health Service in England. </w:t>
      </w:r>
      <w:r>
        <w:rPr>
          <w:i/>
        </w:rPr>
        <w:t>Id.</w:t>
      </w:r>
    </w:p>
  </w:footnote>
  <w:footnote w:id="275">
    <w:p w14:paraId="124D48C8" w14:textId="77777777" w:rsidR="00BF48DB" w:rsidRPr="00BB0BAE" w:rsidRDefault="00BF48DB" w:rsidP="00D13A09">
      <w:pPr>
        <w:pStyle w:val="FootnoteText"/>
      </w:pPr>
      <w:r>
        <w:rPr>
          <w:rStyle w:val="FootnoteReference"/>
        </w:rPr>
        <w:footnoteRef/>
      </w:r>
      <w:r>
        <w:t xml:space="preserve"> </w:t>
      </w:r>
      <w:r>
        <w:rPr>
          <w:i/>
        </w:rPr>
        <w:t xml:space="preserve">Id. </w:t>
      </w:r>
      <w:r>
        <w:t>at 11.</w:t>
      </w:r>
    </w:p>
  </w:footnote>
  <w:footnote w:id="276">
    <w:p w14:paraId="39EDE5BE" w14:textId="77777777" w:rsidR="00BF48DB" w:rsidRPr="00BB0BAE" w:rsidRDefault="00BF48DB" w:rsidP="00D13A09">
      <w:pPr>
        <w:pStyle w:val="FootnoteText"/>
      </w:pPr>
      <w:r>
        <w:rPr>
          <w:rStyle w:val="FootnoteReference"/>
        </w:rPr>
        <w:footnoteRef/>
      </w:r>
      <w:r>
        <w:t xml:space="preserve"> </w:t>
      </w:r>
      <w:r>
        <w:rPr>
          <w:i/>
        </w:rPr>
        <w:t>Id.</w:t>
      </w:r>
      <w:r>
        <w:t xml:space="preserve"> at 12.</w:t>
      </w:r>
    </w:p>
  </w:footnote>
  <w:footnote w:id="277">
    <w:p w14:paraId="76936FA1" w14:textId="77777777" w:rsidR="00BF48DB" w:rsidRPr="00A11FAD" w:rsidRDefault="00BF48DB" w:rsidP="00D13A09">
      <w:pPr>
        <w:pStyle w:val="FootnoteText"/>
      </w:pPr>
      <w:r>
        <w:rPr>
          <w:rStyle w:val="FootnoteReference"/>
        </w:rPr>
        <w:footnoteRef/>
      </w:r>
      <w:r>
        <w:t xml:space="preserve"> </w:t>
      </w:r>
      <w:r>
        <w:rPr>
          <w:i/>
        </w:rPr>
        <w:t>Id.</w:t>
      </w:r>
      <w:r>
        <w:t xml:space="preserve"> at 7, 9. </w:t>
      </w:r>
    </w:p>
  </w:footnote>
  <w:footnote w:id="278">
    <w:p w14:paraId="112E69E1" w14:textId="77777777" w:rsidR="00BF48DB" w:rsidRPr="000D2E20" w:rsidRDefault="00BF48DB" w:rsidP="00D13A09">
      <w:pPr>
        <w:pStyle w:val="FootnoteText"/>
      </w:pPr>
      <w:r>
        <w:rPr>
          <w:rStyle w:val="FootnoteReference"/>
        </w:rPr>
        <w:footnoteRef/>
      </w:r>
      <w:r>
        <w:t xml:space="preserve"> </w:t>
      </w:r>
      <w:r>
        <w:rPr>
          <w:i/>
        </w:rPr>
        <w:t>Id.</w:t>
      </w:r>
      <w:r>
        <w:t xml:space="preserve"> at 9 (concluding that, without inferring blame, that “our primary observation [is] that the majority of news coverage on a single study was formed by reproducing secondary sources, and that most of the coverage was poor as a result.”).</w:t>
      </w:r>
    </w:p>
  </w:footnote>
  <w:footnote w:id="279">
    <w:p w14:paraId="3CA08FEA" w14:textId="77777777" w:rsidR="00BF48DB" w:rsidRPr="00E441FB" w:rsidRDefault="00BF48DB" w:rsidP="00D13A09">
      <w:pPr>
        <w:pStyle w:val="FootnoteText"/>
      </w:pPr>
      <w:r>
        <w:rPr>
          <w:rStyle w:val="FootnoteReference"/>
        </w:rPr>
        <w:footnoteRef/>
      </w:r>
      <w:r>
        <w:t xml:space="preserve"> </w:t>
      </w:r>
      <w:r>
        <w:rPr>
          <w:i/>
        </w:rPr>
        <w:t>Id.</w:t>
      </w:r>
      <w:r>
        <w:t xml:space="preserve"> at 2 (citing various studies).</w:t>
      </w:r>
    </w:p>
  </w:footnote>
  <w:footnote w:id="280">
    <w:p w14:paraId="76BDE02B" w14:textId="77777777" w:rsidR="00BF48DB" w:rsidRDefault="00BF48DB" w:rsidP="00D13A09">
      <w:pPr>
        <w:pStyle w:val="FootnoteText"/>
      </w:pPr>
      <w:r>
        <w:rPr>
          <w:rStyle w:val="FootnoteReference"/>
        </w:rPr>
        <w:footnoteRef/>
      </w:r>
      <w:r>
        <w:t xml:space="preserve"> </w:t>
      </w:r>
      <w:r>
        <w:rPr>
          <w:i/>
        </w:rPr>
        <w:t xml:space="preserve">The 5 Principles of Ethical Journalism, </w:t>
      </w:r>
      <w:r w:rsidRPr="00D25985">
        <w:rPr>
          <w:rFonts w:cs="Times New Roman (Body CS)"/>
          <w:smallCaps/>
        </w:rPr>
        <w:t>Ethical Journalism Network</w:t>
      </w:r>
      <w:r>
        <w:t xml:space="preserve">, </w:t>
      </w:r>
      <w:r w:rsidRPr="008E6413">
        <w:t>https://ethicaljournalismnetwork.org/who-we-are/5-principles-of-journalism</w:t>
      </w:r>
      <w:r>
        <w:t>.</w:t>
      </w:r>
    </w:p>
  </w:footnote>
  <w:footnote w:id="281">
    <w:p w14:paraId="6D4DBB7E" w14:textId="564C5599" w:rsidR="00BF48DB" w:rsidRDefault="00BF48DB" w:rsidP="00D13A09">
      <w:pPr>
        <w:pStyle w:val="FootnoteText"/>
      </w:pPr>
      <w:r>
        <w:rPr>
          <w:rStyle w:val="FootnoteReference"/>
        </w:rPr>
        <w:footnoteRef/>
      </w:r>
      <w:r>
        <w:t xml:space="preserve"> </w:t>
      </w:r>
      <w:r w:rsidRPr="000B2CBE">
        <w:rPr>
          <w:i/>
        </w:rPr>
        <w:t>SPJ Code of Ethics</w:t>
      </w:r>
      <w:r>
        <w:t xml:space="preserve">, </w:t>
      </w:r>
      <w:r w:rsidRPr="00D25985">
        <w:rPr>
          <w:rFonts w:cs="Times New Roman (Body CS)"/>
          <w:smallCaps/>
        </w:rPr>
        <w:t>Soc</w:t>
      </w:r>
      <w:r>
        <w:rPr>
          <w:rFonts w:cs="Times New Roman (Body CS)"/>
          <w:smallCaps/>
        </w:rPr>
        <w:t>’</w:t>
      </w:r>
      <w:r w:rsidRPr="00D25985">
        <w:rPr>
          <w:rFonts w:cs="Times New Roman (Body CS)"/>
          <w:smallCaps/>
        </w:rPr>
        <w:t>y Prof</w:t>
      </w:r>
      <w:r>
        <w:rPr>
          <w:rFonts w:cs="Times New Roman (Body CS)"/>
          <w:smallCaps/>
        </w:rPr>
        <w:t xml:space="preserve">. </w:t>
      </w:r>
      <w:r w:rsidRPr="00D25985">
        <w:rPr>
          <w:rFonts w:cs="Times New Roman (Body CS)"/>
          <w:smallCaps/>
        </w:rPr>
        <w:t>Journalists</w:t>
      </w:r>
      <w:r>
        <w:t xml:space="preserve">, </w:t>
      </w:r>
      <w:r w:rsidRPr="007D2D9B">
        <w:t>https://www.spj.org/ethicscode.asp</w:t>
      </w:r>
      <w:r>
        <w:t>.</w:t>
      </w:r>
    </w:p>
  </w:footnote>
  <w:footnote w:id="282">
    <w:p w14:paraId="5A1EC3F0" w14:textId="77777777" w:rsidR="00BF48DB" w:rsidRPr="007D2D9B" w:rsidRDefault="00BF48DB" w:rsidP="00D13A09">
      <w:pPr>
        <w:pStyle w:val="FootnoteText"/>
      </w:pPr>
      <w:r>
        <w:rPr>
          <w:rStyle w:val="FootnoteReference"/>
        </w:rPr>
        <w:footnoteRef/>
      </w:r>
      <w:r>
        <w:t xml:space="preserve"> </w:t>
      </w:r>
      <w:r>
        <w:rPr>
          <w:i/>
        </w:rPr>
        <w:t>Id.</w:t>
      </w:r>
    </w:p>
  </w:footnote>
  <w:footnote w:id="283">
    <w:p w14:paraId="694FAF11" w14:textId="497CB310" w:rsidR="00BF48DB" w:rsidRPr="00011CDF" w:rsidRDefault="00BF48DB" w:rsidP="00D13A09">
      <w:pPr>
        <w:pStyle w:val="FootnoteText"/>
      </w:pPr>
      <w:r>
        <w:rPr>
          <w:rStyle w:val="FootnoteReference"/>
        </w:rPr>
        <w:footnoteRef/>
      </w:r>
      <w:r>
        <w:t xml:space="preserve"> </w:t>
      </w:r>
      <w:r>
        <w:rPr>
          <w:i/>
        </w:rPr>
        <w:t>Our Review Criteria</w:t>
      </w:r>
      <w:r>
        <w:t xml:space="preserve">, </w:t>
      </w:r>
      <w:r w:rsidRPr="00D25985">
        <w:rPr>
          <w:rFonts w:cs="Times New Roman (Body CS)"/>
          <w:smallCaps/>
        </w:rPr>
        <w:t>Health News Rev</w:t>
      </w:r>
      <w:r>
        <w:rPr>
          <w:rFonts w:cs="Times New Roman (Body CS)"/>
          <w:smallCaps/>
        </w:rPr>
        <w:t>.</w:t>
      </w:r>
      <w:r>
        <w:t xml:space="preserve">, </w:t>
      </w:r>
      <w:r w:rsidRPr="00011CDF">
        <w:t>https://www.healthnewsreview.org/about-us/review-criteria/</w:t>
      </w:r>
      <w:r>
        <w:t>.</w:t>
      </w:r>
    </w:p>
  </w:footnote>
  <w:footnote w:id="284">
    <w:p w14:paraId="30FC1A0F" w14:textId="77777777" w:rsidR="00BF48DB" w:rsidRDefault="00BF48DB" w:rsidP="00D13A09">
      <w:pPr>
        <w:pStyle w:val="FootnoteText"/>
      </w:pPr>
      <w:r>
        <w:rPr>
          <w:rStyle w:val="FootnoteReference"/>
        </w:rPr>
        <w:footnoteRef/>
      </w:r>
      <w:r>
        <w:t xml:space="preserve"> </w:t>
      </w:r>
      <w:r>
        <w:rPr>
          <w:i/>
        </w:rPr>
        <w:t>Id.</w:t>
      </w:r>
      <w:r>
        <w:t xml:space="preserve"> The ten criteria are:</w:t>
      </w:r>
    </w:p>
    <w:p w14:paraId="52808717" w14:textId="77777777" w:rsidR="00BF48DB" w:rsidRDefault="00BF48DB" w:rsidP="00D13A09">
      <w:pPr>
        <w:pStyle w:val="FootnoteText"/>
      </w:pPr>
    </w:p>
    <w:tbl>
      <w:tblPr>
        <w:tblStyle w:val="TableGrid"/>
        <w:tblW w:w="0" w:type="auto"/>
        <w:tblLayout w:type="fixed"/>
        <w:tblLook w:val="04A0" w:firstRow="1" w:lastRow="0" w:firstColumn="1" w:lastColumn="0" w:noHBand="0" w:noVBand="1"/>
      </w:tblPr>
      <w:tblGrid>
        <w:gridCol w:w="531"/>
        <w:gridCol w:w="3244"/>
        <w:gridCol w:w="5575"/>
      </w:tblGrid>
      <w:tr w:rsidR="00BF48DB" w14:paraId="3E61AF73" w14:textId="77777777" w:rsidTr="00540069">
        <w:tc>
          <w:tcPr>
            <w:tcW w:w="531" w:type="dxa"/>
          </w:tcPr>
          <w:p w14:paraId="27CB6ECC" w14:textId="77777777" w:rsidR="00BF48DB" w:rsidRPr="004B302E" w:rsidRDefault="00BF48DB" w:rsidP="008D4D22">
            <w:pPr>
              <w:pStyle w:val="FootnoteText"/>
              <w:rPr>
                <w:b/>
              </w:rPr>
            </w:pPr>
            <w:r w:rsidRPr="004B302E">
              <w:rPr>
                <w:b/>
              </w:rPr>
              <w:t>No.</w:t>
            </w:r>
          </w:p>
        </w:tc>
        <w:tc>
          <w:tcPr>
            <w:tcW w:w="3244" w:type="dxa"/>
          </w:tcPr>
          <w:p w14:paraId="42666219" w14:textId="77777777" w:rsidR="00BF48DB" w:rsidRPr="004B302E" w:rsidRDefault="00BF48DB">
            <w:pPr>
              <w:pStyle w:val="FootnoteText"/>
              <w:rPr>
                <w:b/>
              </w:rPr>
            </w:pPr>
            <w:r w:rsidRPr="004B302E">
              <w:rPr>
                <w:b/>
              </w:rPr>
              <w:t>Criterion</w:t>
            </w:r>
          </w:p>
        </w:tc>
        <w:tc>
          <w:tcPr>
            <w:tcW w:w="5575" w:type="dxa"/>
          </w:tcPr>
          <w:p w14:paraId="6CCE38B0" w14:textId="77777777" w:rsidR="00BF48DB" w:rsidRPr="004B302E" w:rsidRDefault="00BF48DB">
            <w:pPr>
              <w:pStyle w:val="FootnoteText"/>
              <w:rPr>
                <w:b/>
              </w:rPr>
            </w:pPr>
            <w:r w:rsidRPr="004B302E">
              <w:rPr>
                <w:b/>
              </w:rPr>
              <w:t>Explanation</w:t>
            </w:r>
          </w:p>
        </w:tc>
      </w:tr>
      <w:tr w:rsidR="00BF48DB" w14:paraId="581CD97D" w14:textId="77777777" w:rsidTr="00540069">
        <w:tc>
          <w:tcPr>
            <w:tcW w:w="531" w:type="dxa"/>
          </w:tcPr>
          <w:p w14:paraId="44949DD4" w14:textId="77777777" w:rsidR="00BF48DB" w:rsidRDefault="00BF48DB" w:rsidP="008D4D22">
            <w:pPr>
              <w:pStyle w:val="FootnoteText"/>
            </w:pPr>
            <w:r>
              <w:t>1</w:t>
            </w:r>
          </w:p>
        </w:tc>
        <w:tc>
          <w:tcPr>
            <w:tcW w:w="3244" w:type="dxa"/>
          </w:tcPr>
          <w:p w14:paraId="147799B2" w14:textId="77777777" w:rsidR="00BF48DB" w:rsidRDefault="00BF48DB">
            <w:pPr>
              <w:pStyle w:val="FootnoteText"/>
            </w:pPr>
            <w:r w:rsidRPr="00296047">
              <w:t>Does the story adequately discuss the costs of the intervention?</w:t>
            </w:r>
          </w:p>
        </w:tc>
        <w:tc>
          <w:tcPr>
            <w:tcW w:w="5575" w:type="dxa"/>
          </w:tcPr>
          <w:p w14:paraId="4B5006AC" w14:textId="77777777" w:rsidR="00BF48DB" w:rsidRDefault="00BF48DB" w:rsidP="008D4D22">
            <w:pPr>
              <w:pStyle w:val="FootnoteText"/>
            </w:pPr>
            <w:r>
              <w:t>News stories don’t sufficiently inform patients and consumers if costs are not addressed.</w:t>
            </w:r>
          </w:p>
        </w:tc>
      </w:tr>
      <w:tr w:rsidR="00BF48DB" w14:paraId="3E597F71" w14:textId="77777777" w:rsidTr="00540069">
        <w:tc>
          <w:tcPr>
            <w:tcW w:w="531" w:type="dxa"/>
          </w:tcPr>
          <w:p w14:paraId="65D0648D" w14:textId="77777777" w:rsidR="00BF48DB" w:rsidRDefault="00BF48DB" w:rsidP="008D4D22">
            <w:pPr>
              <w:pStyle w:val="FootnoteText"/>
            </w:pPr>
            <w:r>
              <w:t>2</w:t>
            </w:r>
          </w:p>
        </w:tc>
        <w:tc>
          <w:tcPr>
            <w:tcW w:w="3244" w:type="dxa"/>
          </w:tcPr>
          <w:p w14:paraId="06AE74C1" w14:textId="77777777" w:rsidR="00BF48DB" w:rsidRDefault="00BF48DB" w:rsidP="008D4D22">
            <w:pPr>
              <w:pStyle w:val="FootnoteText"/>
            </w:pPr>
            <w:r>
              <w:t>Does the story adequately quantify the benefits of the intervention?</w:t>
            </w:r>
          </w:p>
        </w:tc>
        <w:tc>
          <w:tcPr>
            <w:tcW w:w="5575" w:type="dxa"/>
          </w:tcPr>
          <w:p w14:paraId="6DC1C96E" w14:textId="77777777" w:rsidR="00BF48DB" w:rsidRDefault="00BF48DB" w:rsidP="00AE3ED2">
            <w:pPr>
              <w:pStyle w:val="FootnoteText"/>
            </w:pPr>
            <w:r>
              <w:t>Results should be explained in clear absolute numbers whenever possible and whether the findings make an actual difference in people’s lives.</w:t>
            </w:r>
          </w:p>
        </w:tc>
      </w:tr>
      <w:tr w:rsidR="00BF48DB" w14:paraId="1C2B4E81" w14:textId="77777777" w:rsidTr="00540069">
        <w:tc>
          <w:tcPr>
            <w:tcW w:w="531" w:type="dxa"/>
          </w:tcPr>
          <w:p w14:paraId="0A7ADCE8" w14:textId="77777777" w:rsidR="00BF48DB" w:rsidRDefault="00BF48DB" w:rsidP="008D4D22">
            <w:pPr>
              <w:pStyle w:val="FootnoteText"/>
            </w:pPr>
            <w:r>
              <w:t>3</w:t>
            </w:r>
          </w:p>
        </w:tc>
        <w:tc>
          <w:tcPr>
            <w:tcW w:w="3244" w:type="dxa"/>
          </w:tcPr>
          <w:p w14:paraId="2679755E" w14:textId="77777777" w:rsidR="00BF48DB" w:rsidRDefault="00BF48DB">
            <w:pPr>
              <w:pStyle w:val="FootnoteText"/>
            </w:pPr>
            <w:r w:rsidRPr="00296047">
              <w:t>Does the story adequately explain/quantify the harms of the intervention?</w:t>
            </w:r>
          </w:p>
        </w:tc>
        <w:tc>
          <w:tcPr>
            <w:tcW w:w="5575" w:type="dxa"/>
          </w:tcPr>
          <w:p w14:paraId="1C985CC2" w14:textId="77777777" w:rsidR="00BF48DB" w:rsidRDefault="00BF48DB" w:rsidP="008D4D22">
            <w:pPr>
              <w:pStyle w:val="FootnoteText"/>
            </w:pPr>
            <w:r>
              <w:t>No discussion of adverse effects, such as side effects and complications, can imply that no such costs exist to the intervention and disable readers from informed choice.</w:t>
            </w:r>
          </w:p>
        </w:tc>
      </w:tr>
      <w:tr w:rsidR="00BF48DB" w14:paraId="7691CA8F" w14:textId="77777777" w:rsidTr="00540069">
        <w:tc>
          <w:tcPr>
            <w:tcW w:w="531" w:type="dxa"/>
          </w:tcPr>
          <w:p w14:paraId="446F5E0A" w14:textId="77777777" w:rsidR="00BF48DB" w:rsidRDefault="00BF48DB" w:rsidP="008D4D22">
            <w:pPr>
              <w:pStyle w:val="FootnoteText"/>
            </w:pPr>
            <w:r>
              <w:t>4</w:t>
            </w:r>
          </w:p>
        </w:tc>
        <w:tc>
          <w:tcPr>
            <w:tcW w:w="3244" w:type="dxa"/>
          </w:tcPr>
          <w:p w14:paraId="7F7781CB" w14:textId="77777777" w:rsidR="00BF48DB" w:rsidRDefault="00BF48DB">
            <w:pPr>
              <w:pStyle w:val="FootnoteText"/>
            </w:pPr>
            <w:r w:rsidRPr="00296047">
              <w:t>Does the story seem to grasp the quality of the evidence?</w:t>
            </w:r>
          </w:p>
        </w:tc>
        <w:tc>
          <w:tcPr>
            <w:tcW w:w="5575" w:type="dxa"/>
          </w:tcPr>
          <w:p w14:paraId="26BB329F" w14:textId="77777777" w:rsidR="00BF48DB" w:rsidRDefault="00BF48DB" w:rsidP="008D4D22">
            <w:pPr>
              <w:pStyle w:val="FootnoteText"/>
            </w:pPr>
            <w:r>
              <w:t>Readers should be aware of how statistically rigorous the evidence is for the intervention. Not all studies are equal.</w:t>
            </w:r>
          </w:p>
        </w:tc>
      </w:tr>
      <w:tr w:rsidR="00BF48DB" w14:paraId="4A11E738" w14:textId="77777777" w:rsidTr="00540069">
        <w:tc>
          <w:tcPr>
            <w:tcW w:w="531" w:type="dxa"/>
          </w:tcPr>
          <w:p w14:paraId="5214D71E" w14:textId="77777777" w:rsidR="00BF48DB" w:rsidRDefault="00BF48DB" w:rsidP="008D4D22">
            <w:pPr>
              <w:pStyle w:val="FootnoteText"/>
            </w:pPr>
            <w:r>
              <w:t>5</w:t>
            </w:r>
          </w:p>
        </w:tc>
        <w:tc>
          <w:tcPr>
            <w:tcW w:w="3244" w:type="dxa"/>
          </w:tcPr>
          <w:p w14:paraId="048D8DD1" w14:textId="77777777" w:rsidR="00BF48DB" w:rsidRDefault="00BF48DB">
            <w:pPr>
              <w:pStyle w:val="FootnoteText"/>
            </w:pPr>
            <w:r w:rsidRPr="00296047">
              <w:t>Does the story commit disease-mongering?</w:t>
            </w:r>
          </w:p>
        </w:tc>
        <w:tc>
          <w:tcPr>
            <w:tcW w:w="5575" w:type="dxa"/>
          </w:tcPr>
          <w:p w14:paraId="45863E54" w14:textId="77777777" w:rsidR="00BF48DB" w:rsidRDefault="00BF48DB" w:rsidP="00EB7D9C">
            <w:pPr>
              <w:pStyle w:val="FootnoteText"/>
            </w:pPr>
            <w:r>
              <w:t>Exaggerations can distort the true evidence of risk. Overwrought language can misrepresent severity of condition studied.</w:t>
            </w:r>
          </w:p>
        </w:tc>
      </w:tr>
      <w:tr w:rsidR="00BF48DB" w14:paraId="19131B75" w14:textId="77777777" w:rsidTr="00540069">
        <w:tc>
          <w:tcPr>
            <w:tcW w:w="531" w:type="dxa"/>
          </w:tcPr>
          <w:p w14:paraId="2BE02CDB" w14:textId="77777777" w:rsidR="00BF48DB" w:rsidRDefault="00BF48DB" w:rsidP="008D4D22">
            <w:pPr>
              <w:pStyle w:val="FootnoteText"/>
            </w:pPr>
            <w:r>
              <w:t>6</w:t>
            </w:r>
          </w:p>
        </w:tc>
        <w:tc>
          <w:tcPr>
            <w:tcW w:w="3244" w:type="dxa"/>
          </w:tcPr>
          <w:p w14:paraId="52259B69" w14:textId="77777777" w:rsidR="00BF48DB" w:rsidRDefault="00BF48DB">
            <w:pPr>
              <w:pStyle w:val="FootnoteText"/>
            </w:pPr>
            <w:r w:rsidRPr="00296047">
              <w:t>Does the story use independent sources and identify conflicts of interest?</w:t>
            </w:r>
          </w:p>
        </w:tc>
        <w:tc>
          <w:tcPr>
            <w:tcW w:w="5575" w:type="dxa"/>
          </w:tcPr>
          <w:p w14:paraId="07C7DA6C" w14:textId="77777777" w:rsidR="00BF48DB" w:rsidRDefault="00BF48DB" w:rsidP="008D4D22">
            <w:pPr>
              <w:pStyle w:val="FootnoteText"/>
            </w:pPr>
            <w:r>
              <w:t xml:space="preserve">Readers should be able to easily comprehend and evaluate potential conflicts of interest and objectivity of sources for themselves. </w:t>
            </w:r>
          </w:p>
        </w:tc>
      </w:tr>
      <w:tr w:rsidR="00BF48DB" w14:paraId="1C89287F" w14:textId="77777777" w:rsidTr="00540069">
        <w:tc>
          <w:tcPr>
            <w:tcW w:w="531" w:type="dxa"/>
          </w:tcPr>
          <w:p w14:paraId="0D111027" w14:textId="77777777" w:rsidR="00BF48DB" w:rsidRDefault="00BF48DB" w:rsidP="008D4D22">
            <w:pPr>
              <w:pStyle w:val="FootnoteText"/>
            </w:pPr>
            <w:r>
              <w:t>7</w:t>
            </w:r>
          </w:p>
        </w:tc>
        <w:tc>
          <w:tcPr>
            <w:tcW w:w="3244" w:type="dxa"/>
          </w:tcPr>
          <w:p w14:paraId="62A567EE" w14:textId="77777777" w:rsidR="00BF48DB" w:rsidRDefault="00BF48DB">
            <w:pPr>
              <w:pStyle w:val="FootnoteText"/>
            </w:pPr>
            <w:r w:rsidRPr="0093154A">
              <w:t>Does the story compare the new approach with existing alternatives?</w:t>
            </w:r>
          </w:p>
        </w:tc>
        <w:tc>
          <w:tcPr>
            <w:tcW w:w="5575" w:type="dxa"/>
          </w:tcPr>
          <w:p w14:paraId="7E910566" w14:textId="77777777" w:rsidR="00BF48DB" w:rsidRDefault="00BF48DB">
            <w:pPr>
              <w:pStyle w:val="FootnoteText"/>
            </w:pPr>
            <w:r>
              <w:t>Novelty does not necessarily mean that the study is the best option available.</w:t>
            </w:r>
          </w:p>
        </w:tc>
      </w:tr>
      <w:tr w:rsidR="00BF48DB" w14:paraId="1DBF74E5" w14:textId="77777777" w:rsidTr="00540069">
        <w:tc>
          <w:tcPr>
            <w:tcW w:w="531" w:type="dxa"/>
          </w:tcPr>
          <w:p w14:paraId="54E34F27" w14:textId="77777777" w:rsidR="00BF48DB" w:rsidRDefault="00BF48DB">
            <w:pPr>
              <w:pStyle w:val="FootnoteText"/>
            </w:pPr>
            <w:r>
              <w:t>8</w:t>
            </w:r>
          </w:p>
        </w:tc>
        <w:tc>
          <w:tcPr>
            <w:tcW w:w="3244" w:type="dxa"/>
          </w:tcPr>
          <w:p w14:paraId="2F605BCB" w14:textId="77777777" w:rsidR="00BF48DB" w:rsidRDefault="00BF48DB">
            <w:pPr>
              <w:pStyle w:val="FootnoteText"/>
            </w:pPr>
            <w:r w:rsidRPr="0093154A">
              <w:t>Does the story establish the availability of the treatment/test/product/procedure?</w:t>
            </w:r>
          </w:p>
        </w:tc>
        <w:tc>
          <w:tcPr>
            <w:tcW w:w="5575" w:type="dxa"/>
          </w:tcPr>
          <w:p w14:paraId="1EAE3F4F" w14:textId="77777777" w:rsidR="00BF48DB" w:rsidRDefault="00BF48DB">
            <w:pPr>
              <w:pStyle w:val="FootnoteText"/>
            </w:pPr>
            <w:r>
              <w:t>The reader should be able to determine whether obtaining the benefits, or preventing the losses, from the study are actionable now or only in the distant future.</w:t>
            </w:r>
          </w:p>
        </w:tc>
      </w:tr>
      <w:tr w:rsidR="00BF48DB" w14:paraId="0D603272" w14:textId="77777777" w:rsidTr="00540069">
        <w:tc>
          <w:tcPr>
            <w:tcW w:w="531" w:type="dxa"/>
          </w:tcPr>
          <w:p w14:paraId="54F43BB3" w14:textId="77777777" w:rsidR="00BF48DB" w:rsidRDefault="00BF48DB">
            <w:pPr>
              <w:pStyle w:val="FootnoteText"/>
            </w:pPr>
            <w:r>
              <w:t>9</w:t>
            </w:r>
          </w:p>
        </w:tc>
        <w:tc>
          <w:tcPr>
            <w:tcW w:w="3244" w:type="dxa"/>
          </w:tcPr>
          <w:p w14:paraId="38A318F2" w14:textId="77777777" w:rsidR="00BF48DB" w:rsidRDefault="00BF48DB">
            <w:pPr>
              <w:pStyle w:val="FootnoteText"/>
            </w:pPr>
            <w:r w:rsidRPr="0093154A">
              <w:t>Does the story establish the true novelty of the approach?</w:t>
            </w:r>
          </w:p>
        </w:tc>
        <w:tc>
          <w:tcPr>
            <w:tcW w:w="5575" w:type="dxa"/>
          </w:tcPr>
          <w:p w14:paraId="6400CA5D" w14:textId="77777777" w:rsidR="00BF48DB" w:rsidRDefault="00BF48DB">
            <w:pPr>
              <w:pStyle w:val="FootnoteText"/>
            </w:pPr>
            <w:r>
              <w:t>It should be clear whether the study is genuinely novel or merely a permutation of an already established practice.</w:t>
            </w:r>
          </w:p>
        </w:tc>
      </w:tr>
      <w:tr w:rsidR="00BF48DB" w14:paraId="5C91DAE6" w14:textId="77777777" w:rsidTr="00540069">
        <w:tc>
          <w:tcPr>
            <w:tcW w:w="531" w:type="dxa"/>
          </w:tcPr>
          <w:p w14:paraId="3E7BFF07" w14:textId="77777777" w:rsidR="00BF48DB" w:rsidRDefault="00BF48DB">
            <w:pPr>
              <w:pStyle w:val="FootnoteText"/>
            </w:pPr>
            <w:r>
              <w:t>10</w:t>
            </w:r>
          </w:p>
        </w:tc>
        <w:tc>
          <w:tcPr>
            <w:tcW w:w="3244" w:type="dxa"/>
          </w:tcPr>
          <w:p w14:paraId="35F3918D" w14:textId="77777777" w:rsidR="00BF48DB" w:rsidRDefault="00BF48DB">
            <w:pPr>
              <w:pStyle w:val="FootnoteText"/>
            </w:pPr>
            <w:r w:rsidRPr="0093154A">
              <w:t>Does the story appear to rely solely or largely on a news release?</w:t>
            </w:r>
          </w:p>
        </w:tc>
        <w:tc>
          <w:tcPr>
            <w:tcW w:w="5575" w:type="dxa"/>
          </w:tcPr>
          <w:p w14:paraId="5C23982D" w14:textId="77777777" w:rsidR="00BF48DB" w:rsidRDefault="00BF48DB">
            <w:pPr>
              <w:pStyle w:val="FootnoteText"/>
            </w:pPr>
            <w:r>
              <w:t>The presence or absence of original reporting, or simple repetition from another source, should be made clear.</w:t>
            </w:r>
          </w:p>
        </w:tc>
      </w:tr>
    </w:tbl>
    <w:p w14:paraId="6287A09D" w14:textId="77777777" w:rsidR="00BF48DB" w:rsidRDefault="00BF48DB" w:rsidP="00D13A09">
      <w:pPr>
        <w:pStyle w:val="FootnoteText"/>
      </w:pPr>
    </w:p>
    <w:p w14:paraId="082998EE" w14:textId="77777777" w:rsidR="00BF48DB" w:rsidRPr="00013481" w:rsidRDefault="00BF48DB" w:rsidP="00D13A09">
      <w:pPr>
        <w:pStyle w:val="FootnoteText"/>
      </w:pPr>
      <w:r>
        <w:rPr>
          <w:i/>
        </w:rPr>
        <w:t>Id.</w:t>
      </w:r>
      <w:r>
        <w:t xml:space="preserve"> </w:t>
      </w:r>
      <w:r w:rsidRPr="00FF20FE">
        <w:t>The Health News Review</w:t>
      </w:r>
      <w:r>
        <w:t xml:space="preserve"> modifies these criteria slightly for news releases. </w:t>
      </w:r>
      <w:r>
        <w:rPr>
          <w:i/>
        </w:rPr>
        <w:t>Id.</w:t>
      </w:r>
    </w:p>
  </w:footnote>
  <w:footnote w:id="285">
    <w:p w14:paraId="6077168A" w14:textId="77777777" w:rsidR="00BF48DB" w:rsidRPr="00735DB3" w:rsidRDefault="00BF48DB" w:rsidP="009C5A16">
      <w:pPr>
        <w:pStyle w:val="FootnoteText"/>
      </w:pPr>
      <w:r>
        <w:rPr>
          <w:rStyle w:val="FootnoteReference"/>
        </w:rPr>
        <w:footnoteRef/>
      </w:r>
      <w:r>
        <w:t xml:space="preserve"> </w:t>
      </w:r>
      <w:r>
        <w:rPr>
          <w:i/>
        </w:rPr>
        <w:t xml:space="preserve">See </w:t>
      </w:r>
      <w:r>
        <w:t xml:space="preserve">Karen Bradshaw Schulz, </w:t>
      </w:r>
      <w:r>
        <w:rPr>
          <w:i/>
        </w:rPr>
        <w:t>Information Flooding</w:t>
      </w:r>
      <w:r>
        <w:t xml:space="preserve">, 48 </w:t>
      </w:r>
      <w:r>
        <w:rPr>
          <w:smallCaps/>
        </w:rPr>
        <w:t>Ind. L. Rev.</w:t>
      </w:r>
      <w:r>
        <w:t xml:space="preserve"> 755, 762-64 (2013).</w:t>
      </w:r>
    </w:p>
  </w:footnote>
  <w:footnote w:id="286">
    <w:p w14:paraId="3EDC9989" w14:textId="77777777" w:rsidR="00BF48DB" w:rsidRDefault="00BF48DB" w:rsidP="003B5809">
      <w:pPr>
        <w:pStyle w:val="FootnoteText"/>
      </w:pPr>
      <w:r>
        <w:rPr>
          <w:rStyle w:val="FootnoteReference"/>
        </w:rPr>
        <w:footnoteRef/>
      </w:r>
      <w:r>
        <w:t xml:space="preserve"> Gregory J. Downey, </w:t>
      </w:r>
      <w:r>
        <w:rPr>
          <w:i/>
        </w:rPr>
        <w:t>Making Media Work: Time, Space Identity, and Labor in the Analysis of Information and Communication Infrastructures</w:t>
      </w:r>
      <w:r>
        <w:t>,</w:t>
      </w:r>
      <w:r>
        <w:rPr>
          <w:i/>
        </w:rPr>
        <w:t xml:space="preserve"> in</w:t>
      </w:r>
      <w:r>
        <w:t xml:space="preserve"> </w:t>
      </w:r>
      <w:r>
        <w:rPr>
          <w:smallCaps/>
        </w:rPr>
        <w:t xml:space="preserve">Media Technologies: Essays on Communication, Materiality, and Society 141, </w:t>
      </w:r>
      <w:r>
        <w:t>142 (T. Gillespie et al. eds 2014).</w:t>
      </w:r>
    </w:p>
  </w:footnote>
  <w:footnote w:id="287">
    <w:p w14:paraId="2FFAE3A7" w14:textId="77777777" w:rsidR="00BF48DB" w:rsidRPr="007D67AA" w:rsidRDefault="00BF48DB" w:rsidP="003B5809">
      <w:pPr>
        <w:pStyle w:val="FootnoteText"/>
      </w:pPr>
      <w:r>
        <w:rPr>
          <w:rStyle w:val="FootnoteReference"/>
        </w:rPr>
        <w:footnoteRef/>
      </w:r>
      <w:r>
        <w:t xml:space="preserve"> </w:t>
      </w:r>
      <w:r>
        <w:rPr>
          <w:i/>
        </w:rPr>
        <w:t>Id.</w:t>
      </w:r>
      <w:r>
        <w:t xml:space="preserve"> at 143.</w:t>
      </w:r>
    </w:p>
  </w:footnote>
  <w:footnote w:id="288">
    <w:p w14:paraId="46FC5110" w14:textId="77777777" w:rsidR="00BF48DB" w:rsidRPr="00EB102C" w:rsidRDefault="00BF48DB" w:rsidP="003B5809">
      <w:pPr>
        <w:pStyle w:val="FootnoteText"/>
      </w:pPr>
      <w:r>
        <w:rPr>
          <w:rStyle w:val="FootnoteReference"/>
        </w:rPr>
        <w:footnoteRef/>
      </w:r>
      <w:r>
        <w:t xml:space="preserve"> </w:t>
      </w:r>
      <w:r>
        <w:rPr>
          <w:i/>
        </w:rPr>
        <w:t>Id.</w:t>
      </w:r>
    </w:p>
  </w:footnote>
  <w:footnote w:id="289">
    <w:p w14:paraId="58BEB305" w14:textId="77777777" w:rsidR="00BF48DB" w:rsidRPr="00A913A9" w:rsidRDefault="00BF48DB" w:rsidP="003B5809">
      <w:pPr>
        <w:pStyle w:val="FootnoteText"/>
      </w:pPr>
      <w:r>
        <w:rPr>
          <w:rStyle w:val="FootnoteReference"/>
        </w:rPr>
        <w:footnoteRef/>
      </w:r>
      <w:r>
        <w:t xml:space="preserve"> </w:t>
      </w:r>
      <w:r>
        <w:rPr>
          <w:i/>
        </w:rPr>
        <w:t>Id.</w:t>
      </w:r>
    </w:p>
  </w:footnote>
  <w:footnote w:id="290">
    <w:p w14:paraId="610F1470" w14:textId="5E9CF0A0" w:rsidR="00BF48DB" w:rsidRPr="008C3938" w:rsidRDefault="00BF48DB">
      <w:pPr>
        <w:pStyle w:val="FootnoteText"/>
      </w:pPr>
      <w:r>
        <w:rPr>
          <w:rStyle w:val="FootnoteReference"/>
        </w:rPr>
        <w:footnoteRef/>
      </w:r>
      <w:r>
        <w:t xml:space="preserve"> </w:t>
      </w:r>
      <w:r>
        <w:rPr>
          <w:i/>
        </w:rPr>
        <w:t>See</w:t>
      </w:r>
      <w:r>
        <w:t xml:space="preserve"> Kai A. Olsen &amp; Alessio </w:t>
      </w:r>
      <w:proofErr w:type="spellStart"/>
      <w:r>
        <w:t>Malizia</w:t>
      </w:r>
      <w:proofErr w:type="spellEnd"/>
      <w:r>
        <w:t xml:space="preserve">, </w:t>
      </w:r>
      <w:r>
        <w:rPr>
          <w:i/>
        </w:rPr>
        <w:t>Automated Personal Assistants</w:t>
      </w:r>
      <w:r>
        <w:t xml:space="preserve">, </w:t>
      </w:r>
      <w:r>
        <w:rPr>
          <w:smallCaps/>
        </w:rPr>
        <w:t>Computer</w:t>
      </w:r>
      <w:r>
        <w:t>, Nov. 2011, at 112, 111.</w:t>
      </w:r>
    </w:p>
  </w:footnote>
  <w:footnote w:id="291">
    <w:p w14:paraId="26E6A959" w14:textId="7F94592A" w:rsidR="00BF48DB" w:rsidRDefault="00BF48DB" w:rsidP="003B5809">
      <w:pPr>
        <w:pStyle w:val="FootnoteText"/>
      </w:pPr>
      <w:r>
        <w:rPr>
          <w:rStyle w:val="FootnoteReference"/>
        </w:rPr>
        <w:footnoteRef/>
      </w:r>
      <w:r>
        <w:t xml:space="preserve"> </w:t>
      </w:r>
      <w:r w:rsidRPr="00FF20FE">
        <w:rPr>
          <w:i/>
        </w:rPr>
        <w:t>New Research Shows that Autism is Contagious</w:t>
      </w:r>
      <w:r w:rsidRPr="00FF20FE">
        <w:t xml:space="preserve">, </w:t>
      </w:r>
      <w:r w:rsidRPr="00D25985">
        <w:rPr>
          <w:rFonts w:cs="Times New Roman (Body CS)"/>
          <w:smallCaps/>
        </w:rPr>
        <w:t>Candice Curry – W3</w:t>
      </w:r>
      <w:r w:rsidRPr="00FF20FE">
        <w:rPr>
          <w:rFonts w:cs="Times New Roman (Body CS)"/>
          <w:smallCaps/>
        </w:rPr>
        <w:t xml:space="preserve">, </w:t>
      </w:r>
      <w:r w:rsidRPr="00FF20FE">
        <w:t>(Nov. 16, 2014), https://womenwithworth.wordpress.com/2014/11/16/new-research-shows-that-autism-is-contagious/.</w:t>
      </w:r>
      <w:r>
        <w:t xml:space="preserve"> </w:t>
      </w:r>
    </w:p>
  </w:footnote>
  <w:footnote w:id="292">
    <w:p w14:paraId="2774E7DE" w14:textId="43CAD499" w:rsidR="00BF48DB" w:rsidRDefault="00BF48DB">
      <w:pPr>
        <w:pStyle w:val="FootnoteText"/>
      </w:pPr>
      <w:r>
        <w:rPr>
          <w:rStyle w:val="FootnoteReference"/>
        </w:rPr>
        <w:footnoteRef/>
      </w:r>
      <w:r>
        <w:t xml:space="preserve"> This is based on a search of “is autism contagious” using Google, Yahoo!, and Bing on December 20, 2018.</w:t>
      </w:r>
    </w:p>
  </w:footnote>
  <w:footnote w:id="293">
    <w:p w14:paraId="42C4B419" w14:textId="5CF660BA" w:rsidR="00BF48DB" w:rsidRPr="00EB2C70" w:rsidRDefault="00BF48DB" w:rsidP="003B5809">
      <w:pPr>
        <w:pStyle w:val="FootnoteText"/>
      </w:pPr>
      <w:r>
        <w:rPr>
          <w:rStyle w:val="FootnoteReference"/>
        </w:rPr>
        <w:footnoteRef/>
      </w:r>
      <w:r>
        <w:t xml:space="preserve"> </w:t>
      </w:r>
      <w:r w:rsidRPr="00D25985">
        <w:rPr>
          <w:rFonts w:cs="Times New Roman (Body CS)"/>
          <w:smallCaps/>
        </w:rPr>
        <w:t>Candice Curry – W3</w:t>
      </w:r>
      <w:r>
        <w:t xml:space="preserve">, </w:t>
      </w:r>
      <w:r>
        <w:rPr>
          <w:i/>
        </w:rPr>
        <w:t xml:space="preserve">supra </w:t>
      </w:r>
      <w:r>
        <w:t xml:space="preserve">note </w:t>
      </w:r>
      <w:r>
        <w:fldChar w:fldCharType="begin"/>
      </w:r>
      <w:r>
        <w:instrText xml:space="preserve"> NOTEREF _Ref535500839 \h </w:instrText>
      </w:r>
      <w:r>
        <w:fldChar w:fldCharType="separate"/>
      </w:r>
      <w:r>
        <w:t>290</w:t>
      </w:r>
      <w:r>
        <w:fldChar w:fldCharType="end"/>
      </w:r>
      <w:r>
        <w:t>.</w:t>
      </w:r>
    </w:p>
  </w:footnote>
  <w:footnote w:id="294">
    <w:p w14:paraId="0F3DF67B" w14:textId="77777777" w:rsidR="00BF48DB" w:rsidRPr="00004688" w:rsidRDefault="00BF48DB" w:rsidP="003B5809">
      <w:pPr>
        <w:pStyle w:val="FootnoteText"/>
      </w:pPr>
      <w:r>
        <w:rPr>
          <w:rStyle w:val="FootnoteReference"/>
        </w:rPr>
        <w:footnoteRef/>
      </w:r>
      <w:r>
        <w:t xml:space="preserve"> </w:t>
      </w:r>
      <w:r>
        <w:rPr>
          <w:i/>
        </w:rPr>
        <w:t>Id.</w:t>
      </w:r>
    </w:p>
  </w:footnote>
  <w:footnote w:id="295">
    <w:p w14:paraId="57258687" w14:textId="5DDF5F60" w:rsidR="00BF48DB" w:rsidRDefault="00BF48DB" w:rsidP="003B5809">
      <w:pPr>
        <w:pStyle w:val="FootnoteText"/>
      </w:pPr>
      <w:r>
        <w:rPr>
          <w:rStyle w:val="FootnoteReference"/>
        </w:rPr>
        <w:footnoteRef/>
      </w:r>
      <w:r>
        <w:t xml:space="preserve"> </w:t>
      </w:r>
      <w:proofErr w:type="spellStart"/>
      <w:r>
        <w:t>Manjoo</w:t>
      </w:r>
      <w:proofErr w:type="spellEnd"/>
      <w:r>
        <w:t xml:space="preserve">, </w:t>
      </w:r>
      <w:r>
        <w:rPr>
          <w:i/>
        </w:rPr>
        <w:t xml:space="preserve">supra </w:t>
      </w:r>
      <w:r>
        <w:t xml:space="preserve">note </w:t>
      </w:r>
      <w:r>
        <w:fldChar w:fldCharType="begin"/>
      </w:r>
      <w:r>
        <w:instrText xml:space="preserve"> NOTEREF _Ref535501003 \h </w:instrText>
      </w:r>
      <w:r>
        <w:fldChar w:fldCharType="separate"/>
      </w:r>
      <w:r>
        <w:t>101</w:t>
      </w:r>
      <w:r>
        <w:fldChar w:fldCharType="end"/>
      </w:r>
      <w:r>
        <w:t xml:space="preserve"> (in reference to online content, “[w]e </w:t>
      </w:r>
      <w:proofErr w:type="gramStart"/>
      <w:r>
        <w:t>live</w:t>
      </w:r>
      <w:proofErr w:type="gramEnd"/>
      <w:r>
        <w:t xml:space="preserve"> in the age of skimming.”); </w:t>
      </w:r>
      <w:proofErr w:type="spellStart"/>
      <w:r>
        <w:t>Jakon</w:t>
      </w:r>
      <w:proofErr w:type="spellEnd"/>
      <w:r>
        <w:t xml:space="preserve"> Nielsen, </w:t>
      </w:r>
      <w:r>
        <w:rPr>
          <w:i/>
        </w:rPr>
        <w:t>How Users Read the Web</w:t>
      </w:r>
      <w:r>
        <w:t xml:space="preserve">, </w:t>
      </w:r>
      <w:r>
        <w:rPr>
          <w:smallCaps/>
        </w:rPr>
        <w:t>Nielsen Norman Grp.</w:t>
      </w:r>
      <w:r>
        <w:t xml:space="preserve"> (Oct. 1, 1997) (concluding that “[p]</w:t>
      </w:r>
      <w:proofErr w:type="spellStart"/>
      <w:r w:rsidRPr="00CC4769">
        <w:t>eople</w:t>
      </w:r>
      <w:proofErr w:type="spellEnd"/>
      <w:r w:rsidRPr="00CC4769">
        <w:t xml:space="preserve"> rarely read Web pages word by word; instead, they scan the page, picking out individual words and sentences</w:t>
      </w:r>
      <w:r>
        <w:t xml:space="preserve">.”). </w:t>
      </w:r>
      <w:r>
        <w:rPr>
          <w:i/>
        </w:rPr>
        <w:t xml:space="preserve">See generally </w:t>
      </w:r>
      <w:r>
        <w:rPr>
          <w:smallCaps/>
        </w:rPr>
        <w:t>Nicholas Carr, The Shallows: What the Internet is Doing to Our Brains</w:t>
      </w:r>
      <w:r>
        <w:t xml:space="preserve"> (2010). </w:t>
      </w:r>
    </w:p>
  </w:footnote>
  <w:footnote w:id="296">
    <w:p w14:paraId="55A6CB93" w14:textId="4E805CBD" w:rsidR="00BF48DB" w:rsidRPr="00245A3F" w:rsidRDefault="00BF48DB" w:rsidP="003B5809">
      <w:pPr>
        <w:pStyle w:val="FootnoteText"/>
      </w:pPr>
      <w:r>
        <w:rPr>
          <w:rStyle w:val="FootnoteReference"/>
        </w:rPr>
        <w:footnoteRef/>
      </w:r>
      <w:r>
        <w:t xml:space="preserve"> </w:t>
      </w:r>
      <w:r>
        <w:rPr>
          <w:i/>
        </w:rPr>
        <w:t>See</w:t>
      </w:r>
      <w:r>
        <w:t xml:space="preserve"> Holman, </w:t>
      </w:r>
      <w:r>
        <w:rPr>
          <w:i/>
        </w:rPr>
        <w:t>supra</w:t>
      </w:r>
      <w:r>
        <w:t xml:space="preserve"> note </w:t>
      </w:r>
      <w:r>
        <w:fldChar w:fldCharType="begin"/>
      </w:r>
      <w:r>
        <w:instrText xml:space="preserve"> NOTEREF _Ref535501003 \h </w:instrText>
      </w:r>
      <w:r>
        <w:fldChar w:fldCharType="separate"/>
      </w:r>
      <w:r>
        <w:t>101</w:t>
      </w:r>
      <w:r>
        <w:fldChar w:fldCharType="end"/>
      </w:r>
      <w:r>
        <w:t xml:space="preserve">; </w:t>
      </w:r>
      <w:proofErr w:type="spellStart"/>
      <w:r>
        <w:t>Manjoo</w:t>
      </w:r>
      <w:proofErr w:type="spellEnd"/>
      <w:r>
        <w:t xml:space="preserve">, </w:t>
      </w:r>
      <w:r>
        <w:rPr>
          <w:i/>
        </w:rPr>
        <w:t xml:space="preserve">supra </w:t>
      </w:r>
      <w:r>
        <w:t xml:space="preserve">note </w:t>
      </w:r>
      <w:r>
        <w:fldChar w:fldCharType="begin"/>
      </w:r>
      <w:r>
        <w:instrText xml:space="preserve"> NOTEREF _Ref535501003 \h </w:instrText>
      </w:r>
      <w:r>
        <w:fldChar w:fldCharType="separate"/>
      </w:r>
      <w:r>
        <w:t>101</w:t>
      </w:r>
      <w:r>
        <w:fldChar w:fldCharType="end"/>
      </w:r>
      <w:r>
        <w:t>.</w:t>
      </w:r>
    </w:p>
  </w:footnote>
  <w:footnote w:id="297">
    <w:p w14:paraId="7ADC9AC5" w14:textId="566F6272" w:rsidR="00BF48DB" w:rsidRPr="00953EE7" w:rsidRDefault="00BF48DB" w:rsidP="003B5809">
      <w:pPr>
        <w:pStyle w:val="FootnoteText"/>
      </w:pPr>
      <w:r>
        <w:rPr>
          <w:rStyle w:val="FootnoteReference"/>
        </w:rPr>
        <w:footnoteRef/>
      </w:r>
      <w:r>
        <w:t xml:space="preserve"> Dewey, </w:t>
      </w:r>
      <w:r>
        <w:rPr>
          <w:i/>
        </w:rPr>
        <w:t xml:space="preserve">supra </w:t>
      </w:r>
      <w:r>
        <w:t xml:space="preserve">note </w:t>
      </w:r>
      <w:r>
        <w:fldChar w:fldCharType="begin"/>
      </w:r>
      <w:r>
        <w:instrText xml:space="preserve"> NOTEREF _Ref535501205 \h </w:instrText>
      </w:r>
      <w:r>
        <w:fldChar w:fldCharType="separate"/>
      </w:r>
      <w:r>
        <w:t>165</w:t>
      </w:r>
      <w:r>
        <w:fldChar w:fldCharType="end"/>
      </w:r>
      <w:r>
        <w:t>.</w:t>
      </w:r>
    </w:p>
  </w:footnote>
  <w:footnote w:id="298">
    <w:p w14:paraId="09B9F2C0" w14:textId="1C7B7CC0" w:rsidR="00BF48DB" w:rsidRPr="00AE504A" w:rsidRDefault="00BF48DB">
      <w:pPr>
        <w:pStyle w:val="FootnoteText"/>
      </w:pPr>
      <w:r>
        <w:rPr>
          <w:rStyle w:val="FootnoteReference"/>
        </w:rPr>
        <w:footnoteRef/>
      </w:r>
      <w:r>
        <w:t xml:space="preserve"> </w:t>
      </w:r>
      <w:r w:rsidRPr="00D25985">
        <w:rPr>
          <w:rFonts w:cs="Times New Roman (Body CS)"/>
          <w:smallCaps/>
        </w:rPr>
        <w:t>Candice Curry – W3</w:t>
      </w:r>
      <w:r>
        <w:t xml:space="preserve">, </w:t>
      </w:r>
      <w:r>
        <w:rPr>
          <w:i/>
        </w:rPr>
        <w:t xml:space="preserve">supra </w:t>
      </w:r>
      <w:r>
        <w:t xml:space="preserve">note </w:t>
      </w:r>
      <w:r>
        <w:fldChar w:fldCharType="begin"/>
      </w:r>
      <w:r>
        <w:instrText xml:space="preserve"> NOTEREF _Ref535500839 \h </w:instrText>
      </w:r>
      <w:r>
        <w:fldChar w:fldCharType="separate"/>
      </w:r>
      <w:r>
        <w:t>290</w:t>
      </w:r>
      <w:r>
        <w:fldChar w:fldCharType="end"/>
      </w:r>
      <w:r>
        <w:t>.</w:t>
      </w:r>
    </w:p>
  </w:footnote>
  <w:footnote w:id="299">
    <w:p w14:paraId="7C2A65A2" w14:textId="77777777" w:rsidR="00BF48DB" w:rsidRDefault="00BF48DB" w:rsidP="0012754B">
      <w:pPr>
        <w:pStyle w:val="FootnoteText"/>
      </w:pPr>
      <w:r>
        <w:rPr>
          <w:rStyle w:val="FootnoteReference"/>
        </w:rPr>
        <w:footnoteRef/>
      </w:r>
      <w:r>
        <w:t xml:space="preserve"> Other authors helpfully break down science literacy into at least four components: “</w:t>
      </w:r>
      <w:r w:rsidRPr="008E15F4">
        <w:t>(1) knowing what counts as science and how science differs from non</w:t>
      </w:r>
      <w:r>
        <w:t>-</w:t>
      </w:r>
      <w:r w:rsidRPr="008E15F4">
        <w:t>science, (2) knowledge needed for participating in science-related social issues, (3) knowing the risks and benefits of science, and (4) being able to think critically about science.</w:t>
      </w:r>
      <w:r>
        <w:t xml:space="preserve">” </w:t>
      </w:r>
      <w:proofErr w:type="spellStart"/>
      <w:r>
        <w:t>Hagop</w:t>
      </w:r>
      <w:proofErr w:type="spellEnd"/>
      <w:r>
        <w:t xml:space="preserve"> A. Yacoubian, </w:t>
      </w:r>
      <w:r>
        <w:rPr>
          <w:i/>
        </w:rPr>
        <w:t>Scientific Literacy for Democratic Decision-Making,</w:t>
      </w:r>
      <w:r>
        <w:t xml:space="preserve"> 40 </w:t>
      </w:r>
      <w:r w:rsidRPr="00D3665C">
        <w:rPr>
          <w:smallCaps/>
        </w:rPr>
        <w:t>Int’l J. Sci. Educ.</w:t>
      </w:r>
      <w:r>
        <w:t xml:space="preserve"> 308, 309 (2018).</w:t>
      </w:r>
    </w:p>
  </w:footnote>
  <w:footnote w:id="300">
    <w:p w14:paraId="0189F19D" w14:textId="77777777" w:rsidR="00BF48DB" w:rsidRPr="008E56A8" w:rsidRDefault="00BF48DB" w:rsidP="0012754B">
      <w:pPr>
        <w:pStyle w:val="FootnoteText"/>
      </w:pPr>
      <w:r>
        <w:rPr>
          <w:rStyle w:val="FootnoteReference"/>
        </w:rPr>
        <w:footnoteRef/>
      </w:r>
      <w:r>
        <w:t xml:space="preserve"> </w:t>
      </w:r>
      <w:r>
        <w:rPr>
          <w:i/>
        </w:rPr>
        <w:t>See</w:t>
      </w:r>
      <w:r>
        <w:t xml:space="preserve"> Heather Douglas, </w:t>
      </w:r>
      <w:r>
        <w:rPr>
          <w:i/>
        </w:rPr>
        <w:t>Politics and Science: Untangling Values, Ideologies, and Reasons</w:t>
      </w:r>
      <w:r>
        <w:t xml:space="preserve">, </w:t>
      </w:r>
      <w:r w:rsidRPr="0077336B">
        <w:t xml:space="preserve">658 </w:t>
      </w:r>
      <w:r w:rsidRPr="00EE140A">
        <w:rPr>
          <w:smallCaps/>
        </w:rPr>
        <w:t>Annals</w:t>
      </w:r>
      <w:r w:rsidRPr="0077336B">
        <w:rPr>
          <w:smallCaps/>
        </w:rPr>
        <w:t xml:space="preserve"> Am. Acad. Pol. &amp; Soc. Sci. </w:t>
      </w:r>
      <w:r w:rsidRPr="0077336B">
        <w:t>296</w:t>
      </w:r>
      <w:r>
        <w:t xml:space="preserve">, 300-01 (2015); </w:t>
      </w:r>
      <w:r>
        <w:rPr>
          <w:smallCaps/>
        </w:rPr>
        <w:t>Dorothy J. Howell, Scientific Literacy and Environmental Policy: The Missing Prerequisite for Sound Decision Making</w:t>
      </w:r>
      <w:r>
        <w:t xml:space="preserve"> xv (1992).</w:t>
      </w:r>
    </w:p>
  </w:footnote>
  <w:footnote w:id="301">
    <w:p w14:paraId="2406CDF5" w14:textId="3CA74F34" w:rsidR="00BF48DB" w:rsidRPr="0077336B" w:rsidRDefault="00BF48DB" w:rsidP="0012754B">
      <w:pPr>
        <w:pStyle w:val="FootnoteText"/>
      </w:pPr>
      <w:r>
        <w:rPr>
          <w:rStyle w:val="FootnoteReference"/>
        </w:rPr>
        <w:footnoteRef/>
      </w:r>
      <w:r>
        <w:t xml:space="preserve"> Douglas, </w:t>
      </w:r>
      <w:r>
        <w:rPr>
          <w:i/>
        </w:rPr>
        <w:t>supra</w:t>
      </w:r>
      <w:r>
        <w:t xml:space="preserve"> note </w:t>
      </w:r>
      <w:r>
        <w:fldChar w:fldCharType="begin"/>
      </w:r>
      <w:r>
        <w:instrText xml:space="preserve"> NOTEREF _Ref535501253 \h </w:instrText>
      </w:r>
      <w:r>
        <w:fldChar w:fldCharType="separate"/>
      </w:r>
      <w:r>
        <w:t>299</w:t>
      </w:r>
      <w:r>
        <w:fldChar w:fldCharType="end"/>
      </w:r>
      <w:r>
        <w:t xml:space="preserve">, at 301; </w:t>
      </w:r>
      <w:r>
        <w:rPr>
          <w:smallCaps/>
        </w:rPr>
        <w:t>Howell,</w:t>
      </w:r>
      <w:r>
        <w:t xml:space="preserve"> </w:t>
      </w:r>
      <w:r>
        <w:rPr>
          <w:i/>
        </w:rPr>
        <w:t>supra</w:t>
      </w:r>
      <w:r>
        <w:t xml:space="preserve"> note </w:t>
      </w:r>
      <w:r>
        <w:fldChar w:fldCharType="begin"/>
      </w:r>
      <w:r>
        <w:instrText xml:space="preserve"> NOTEREF _Ref535501253 \h </w:instrText>
      </w:r>
      <w:r>
        <w:fldChar w:fldCharType="separate"/>
      </w:r>
      <w:r>
        <w:t>299</w:t>
      </w:r>
      <w:r>
        <w:fldChar w:fldCharType="end"/>
      </w:r>
      <w:r>
        <w:t>, at xv.</w:t>
      </w:r>
    </w:p>
  </w:footnote>
  <w:footnote w:id="302">
    <w:p w14:paraId="3417F324" w14:textId="32F3D7E7" w:rsidR="00BF48DB" w:rsidRDefault="00BF48DB" w:rsidP="0012754B">
      <w:pPr>
        <w:pStyle w:val="FootnoteText"/>
      </w:pPr>
      <w:r>
        <w:rPr>
          <w:rStyle w:val="FootnoteReference"/>
        </w:rPr>
        <w:footnoteRef/>
      </w:r>
      <w:r>
        <w:t xml:space="preserve"> Douglas, </w:t>
      </w:r>
      <w:r w:rsidRPr="0077336B">
        <w:rPr>
          <w:i/>
        </w:rPr>
        <w:t>supra</w:t>
      </w:r>
      <w:r>
        <w:t xml:space="preserve"> note </w:t>
      </w:r>
      <w:r>
        <w:fldChar w:fldCharType="begin"/>
      </w:r>
      <w:r>
        <w:instrText xml:space="preserve"> NOTEREF _Ref535501253 \h </w:instrText>
      </w:r>
      <w:r>
        <w:fldChar w:fldCharType="separate"/>
      </w:r>
      <w:r>
        <w:t>299</w:t>
      </w:r>
      <w:r>
        <w:fldChar w:fldCharType="end"/>
      </w:r>
      <w:r>
        <w:t xml:space="preserve">, at </w:t>
      </w:r>
      <w:r w:rsidRPr="0077336B">
        <w:t>300</w:t>
      </w:r>
      <w:r>
        <w:t>.</w:t>
      </w:r>
    </w:p>
  </w:footnote>
  <w:footnote w:id="303">
    <w:p w14:paraId="15D787D5" w14:textId="46AB32D9" w:rsidR="00BF48DB" w:rsidRPr="008E15F4" w:rsidRDefault="00BF48DB" w:rsidP="0012754B">
      <w:pPr>
        <w:pStyle w:val="FootnoteText"/>
      </w:pPr>
      <w:r>
        <w:rPr>
          <w:rStyle w:val="FootnoteReference"/>
        </w:rPr>
        <w:footnoteRef/>
      </w:r>
      <w:r>
        <w:t xml:space="preserve"> Yacoubian, </w:t>
      </w:r>
      <w:r>
        <w:rPr>
          <w:i/>
        </w:rPr>
        <w:t>supra</w:t>
      </w:r>
      <w:r>
        <w:t xml:space="preserve"> note </w:t>
      </w:r>
      <w:r>
        <w:fldChar w:fldCharType="begin"/>
      </w:r>
      <w:r>
        <w:instrText xml:space="preserve"> NOTEREF _Ref535501429 \h </w:instrText>
      </w:r>
      <w:r>
        <w:fldChar w:fldCharType="separate"/>
      </w:r>
      <w:r>
        <w:t>298</w:t>
      </w:r>
      <w:r>
        <w:fldChar w:fldCharType="end"/>
      </w:r>
      <w:r>
        <w:t>, at 310-11.</w:t>
      </w:r>
    </w:p>
  </w:footnote>
  <w:footnote w:id="304">
    <w:p w14:paraId="0882A6C0" w14:textId="77777777" w:rsidR="00BF48DB" w:rsidRDefault="00BF48DB" w:rsidP="0012754B">
      <w:pPr>
        <w:pStyle w:val="FootnoteText"/>
      </w:pPr>
      <w:r>
        <w:rPr>
          <w:rStyle w:val="FootnoteReference"/>
        </w:rPr>
        <w:footnoteRef/>
      </w:r>
      <w:r>
        <w:t xml:space="preserve"> </w:t>
      </w:r>
      <w:r>
        <w:rPr>
          <w:i/>
        </w:rPr>
        <w:t>Id.</w:t>
      </w:r>
      <w:r>
        <w:t xml:space="preserve"> at 318.</w:t>
      </w:r>
    </w:p>
  </w:footnote>
  <w:footnote w:id="305">
    <w:p w14:paraId="1743BD9A" w14:textId="77777777" w:rsidR="00BF48DB" w:rsidRPr="00CD0E01" w:rsidRDefault="00BF48DB" w:rsidP="0012754B">
      <w:pPr>
        <w:pStyle w:val="FootnoteText"/>
      </w:pPr>
      <w:r>
        <w:rPr>
          <w:rStyle w:val="FootnoteReference"/>
        </w:rPr>
        <w:footnoteRef/>
      </w:r>
      <w:r>
        <w:t xml:space="preserve"> </w:t>
      </w:r>
      <w:r w:rsidRPr="00CD0E01">
        <w:t xml:space="preserve">Robin A. </w:t>
      </w:r>
      <w:proofErr w:type="spellStart"/>
      <w:r w:rsidRPr="00CD0E01">
        <w:t>Arzón</w:t>
      </w:r>
      <w:proofErr w:type="spellEnd"/>
      <w:r>
        <w:t xml:space="preserve">, </w:t>
      </w:r>
      <w:r>
        <w:rPr>
          <w:i/>
        </w:rPr>
        <w:t>Exploring Iraq War News Coverage and a New Form of Censorship in Violation of the Quickly Evaporating Public Interest Requirement and the Public Right to Receive Information,</w:t>
      </w:r>
      <w:r>
        <w:t xml:space="preserve"> 12 </w:t>
      </w:r>
      <w:proofErr w:type="spellStart"/>
      <w:r>
        <w:rPr>
          <w:smallCaps/>
        </w:rPr>
        <w:t>Vill</w:t>
      </w:r>
      <w:proofErr w:type="spellEnd"/>
      <w:r>
        <w:rPr>
          <w:smallCaps/>
        </w:rPr>
        <w:t xml:space="preserve">. Sports &amp; Ent. L.J. 327, 364 </w:t>
      </w:r>
      <w:r>
        <w:t>n.248 (2005).</w:t>
      </w:r>
    </w:p>
  </w:footnote>
  <w:footnote w:id="306">
    <w:p w14:paraId="1CCD6E5D" w14:textId="77777777" w:rsidR="00BF48DB" w:rsidRPr="00FF4675" w:rsidRDefault="00BF48DB" w:rsidP="0012754B">
      <w:pPr>
        <w:pStyle w:val="FootnoteText"/>
      </w:pPr>
      <w:r>
        <w:rPr>
          <w:rStyle w:val="FootnoteReference"/>
        </w:rPr>
        <w:footnoteRef/>
      </w:r>
      <w:r>
        <w:t xml:space="preserve"> Tibor </w:t>
      </w:r>
      <w:proofErr w:type="spellStart"/>
      <w:r>
        <w:t>Koltay</w:t>
      </w:r>
      <w:proofErr w:type="spellEnd"/>
      <w:r>
        <w:t xml:space="preserve">, </w:t>
      </w:r>
      <w:r>
        <w:rPr>
          <w:i/>
        </w:rPr>
        <w:t xml:space="preserve">The Media and the Literacies: Media Literacy, Information Literacy, </w:t>
      </w:r>
      <w:r w:rsidRPr="002828D4">
        <w:rPr>
          <w:i/>
        </w:rPr>
        <w:t xml:space="preserve">Digital </w:t>
      </w:r>
      <w:r w:rsidRPr="00D25985">
        <w:rPr>
          <w:i/>
        </w:rPr>
        <w:t>Literacy</w:t>
      </w:r>
      <w:r>
        <w:t xml:space="preserve">, </w:t>
      </w:r>
      <w:r w:rsidRPr="00FF4675">
        <w:t>33</w:t>
      </w:r>
      <w:r>
        <w:t xml:space="preserve"> </w:t>
      </w:r>
      <w:r>
        <w:rPr>
          <w:smallCaps/>
        </w:rPr>
        <w:t xml:space="preserve">Media, </w:t>
      </w:r>
      <w:r w:rsidRPr="00EE140A">
        <w:rPr>
          <w:smallCaps/>
        </w:rPr>
        <w:t>Culture</w:t>
      </w:r>
      <w:r>
        <w:rPr>
          <w:smallCaps/>
        </w:rPr>
        <w:t xml:space="preserve"> &amp; Soc. </w:t>
      </w:r>
      <w:r>
        <w:t>211, 212 (2011).</w:t>
      </w:r>
    </w:p>
  </w:footnote>
  <w:footnote w:id="307">
    <w:p w14:paraId="100FA477" w14:textId="77777777" w:rsidR="00BF48DB" w:rsidRDefault="00BF48DB" w:rsidP="0012754B">
      <w:pPr>
        <w:pStyle w:val="FootnoteText"/>
      </w:pPr>
      <w:r>
        <w:rPr>
          <w:rStyle w:val="FootnoteReference"/>
        </w:rPr>
        <w:footnoteRef/>
      </w:r>
      <w:r>
        <w:t xml:space="preserve"> </w:t>
      </w:r>
      <w:proofErr w:type="spellStart"/>
      <w:r>
        <w:t>Tarlach</w:t>
      </w:r>
      <w:proofErr w:type="spellEnd"/>
      <w:r>
        <w:t xml:space="preserve"> </w:t>
      </w:r>
      <w:proofErr w:type="spellStart"/>
      <w:r>
        <w:t>McGonagle</w:t>
      </w:r>
      <w:proofErr w:type="spellEnd"/>
      <w:r>
        <w:t xml:space="preserve">, </w:t>
      </w:r>
      <w:r>
        <w:rPr>
          <w:i/>
        </w:rPr>
        <w:t xml:space="preserve">Media Literacy: No Longer the Shrinking Violet of European Audiovisual Media </w:t>
      </w:r>
      <w:proofErr w:type="gramStart"/>
      <w:r>
        <w:rPr>
          <w:i/>
        </w:rPr>
        <w:t>Regulation?</w:t>
      </w:r>
      <w:r>
        <w:t>,</w:t>
      </w:r>
      <w:proofErr w:type="gramEnd"/>
      <w:r>
        <w:t xml:space="preserve"> 20 </w:t>
      </w:r>
      <w:r>
        <w:rPr>
          <w:smallCaps/>
        </w:rPr>
        <w:t xml:space="preserve">Media L. &amp; </w:t>
      </w:r>
      <w:proofErr w:type="spellStart"/>
      <w:r>
        <w:rPr>
          <w:smallCaps/>
        </w:rPr>
        <w:t>Pol’y</w:t>
      </w:r>
      <w:proofErr w:type="spellEnd"/>
      <w:r>
        <w:rPr>
          <w:smallCaps/>
        </w:rPr>
        <w:t xml:space="preserve"> </w:t>
      </w:r>
      <w:r>
        <w:t>187, 191 (2013).</w:t>
      </w:r>
    </w:p>
  </w:footnote>
  <w:footnote w:id="308">
    <w:p w14:paraId="43252DAD" w14:textId="64490766" w:rsidR="00BF48DB" w:rsidRPr="00A569DE" w:rsidRDefault="00BF48DB" w:rsidP="0012754B">
      <w:pPr>
        <w:pStyle w:val="FootnoteText"/>
      </w:pPr>
      <w:r>
        <w:rPr>
          <w:rStyle w:val="FootnoteReference"/>
        </w:rPr>
        <w:footnoteRef/>
      </w:r>
      <w:r>
        <w:t xml:space="preserve"> </w:t>
      </w:r>
      <w:r>
        <w:rPr>
          <w:i/>
        </w:rPr>
        <w:t>Id.</w:t>
      </w:r>
    </w:p>
  </w:footnote>
  <w:footnote w:id="309">
    <w:p w14:paraId="04563023" w14:textId="77777777" w:rsidR="00BF48DB" w:rsidRPr="00A569DE" w:rsidRDefault="00BF48DB" w:rsidP="0012754B">
      <w:pPr>
        <w:pStyle w:val="FootnoteText"/>
      </w:pPr>
      <w:r>
        <w:rPr>
          <w:rStyle w:val="FootnoteReference"/>
        </w:rPr>
        <w:footnoteRef/>
      </w:r>
      <w:r>
        <w:t xml:space="preserve"> </w:t>
      </w:r>
      <w:r>
        <w:rPr>
          <w:i/>
        </w:rPr>
        <w:t>Id.</w:t>
      </w:r>
    </w:p>
  </w:footnote>
  <w:footnote w:id="310">
    <w:p w14:paraId="79816842" w14:textId="77777777" w:rsidR="00BF48DB" w:rsidRDefault="00BF48DB" w:rsidP="0012754B">
      <w:pPr>
        <w:pStyle w:val="FootnoteText"/>
      </w:pPr>
      <w:r>
        <w:rPr>
          <w:rStyle w:val="FootnoteReference"/>
        </w:rPr>
        <w:footnoteRef/>
      </w:r>
      <w:r>
        <w:t xml:space="preserve"> Elizabeth </w:t>
      </w:r>
      <w:proofErr w:type="spellStart"/>
      <w:r>
        <w:t>Tollman</w:t>
      </w:r>
      <w:proofErr w:type="spellEnd"/>
      <w:r>
        <w:t xml:space="preserve"> &amp; Tessa </w:t>
      </w:r>
      <w:proofErr w:type="spellStart"/>
      <w:r>
        <w:t>Jolls</w:t>
      </w:r>
      <w:proofErr w:type="spellEnd"/>
      <w:r>
        <w:t xml:space="preserve">, </w:t>
      </w:r>
      <w:r>
        <w:rPr>
          <w:i/>
        </w:rPr>
        <w:t>Media Literacy—A National Priority for a Changing World,</w:t>
      </w:r>
      <w:r>
        <w:t xml:space="preserve"> 48 </w:t>
      </w:r>
      <w:r>
        <w:rPr>
          <w:smallCaps/>
        </w:rPr>
        <w:t xml:space="preserve">Am. </w:t>
      </w:r>
      <w:proofErr w:type="spellStart"/>
      <w:r>
        <w:rPr>
          <w:smallCaps/>
        </w:rPr>
        <w:t>Beh</w:t>
      </w:r>
      <w:proofErr w:type="spellEnd"/>
      <w:r>
        <w:rPr>
          <w:smallCaps/>
        </w:rPr>
        <w:t>. Sci.</w:t>
      </w:r>
      <w:r>
        <w:t xml:space="preserve"> 18, 21-22 (2004).</w:t>
      </w:r>
    </w:p>
  </w:footnote>
  <w:footnote w:id="311">
    <w:p w14:paraId="748998FF" w14:textId="77777777" w:rsidR="00BF48DB" w:rsidRPr="0059062F" w:rsidRDefault="00BF48DB" w:rsidP="0012754B">
      <w:pPr>
        <w:pStyle w:val="FootnoteText"/>
      </w:pPr>
      <w:r>
        <w:rPr>
          <w:rStyle w:val="FootnoteReference"/>
        </w:rPr>
        <w:footnoteRef/>
      </w:r>
      <w:r>
        <w:t xml:space="preserve"> </w:t>
      </w:r>
      <w:r>
        <w:rPr>
          <w:i/>
        </w:rPr>
        <w:t>Id.</w:t>
      </w:r>
      <w:r>
        <w:t xml:space="preserve"> at 22.</w:t>
      </w:r>
    </w:p>
  </w:footnote>
  <w:footnote w:id="312">
    <w:p w14:paraId="5DBF5390" w14:textId="5D5AC64E" w:rsidR="00BF48DB" w:rsidRPr="00552CEC" w:rsidRDefault="00BF48DB" w:rsidP="0012754B">
      <w:pPr>
        <w:pStyle w:val="FootnoteText"/>
      </w:pPr>
      <w:r>
        <w:rPr>
          <w:rStyle w:val="FootnoteReference"/>
        </w:rPr>
        <w:footnoteRef/>
      </w:r>
      <w:r>
        <w:t xml:space="preserve"> </w:t>
      </w:r>
      <w:r>
        <w:rPr>
          <w:i/>
        </w:rPr>
        <w:t>Newseum Partners with Facebook on Media Literacy Initiative</w:t>
      </w:r>
      <w:r>
        <w:t xml:space="preserve">, </w:t>
      </w:r>
      <w:r>
        <w:rPr>
          <w:smallCaps/>
        </w:rPr>
        <w:t>Newseum</w:t>
      </w:r>
      <w:r>
        <w:t xml:space="preserve"> (Oct. 5, 2017), </w:t>
      </w:r>
      <w:r w:rsidRPr="00552CEC">
        <w:t>http://www.newseum.org/2017/10/05/newseum-partners-with-facebook-on-media-literacy-initiative/</w:t>
      </w:r>
      <w:r>
        <w:t>.</w:t>
      </w:r>
    </w:p>
  </w:footnote>
  <w:footnote w:id="313">
    <w:p w14:paraId="0FF5AEEE" w14:textId="65EA869E" w:rsidR="00BF48DB" w:rsidRDefault="00BF48DB" w:rsidP="0012754B">
      <w:pPr>
        <w:pStyle w:val="FootnoteText"/>
      </w:pPr>
      <w:r>
        <w:rPr>
          <w:rStyle w:val="FootnoteReference"/>
        </w:rPr>
        <w:footnoteRef/>
      </w:r>
      <w:r>
        <w:t xml:space="preserve"> </w:t>
      </w:r>
      <w:r>
        <w:rPr>
          <w:i/>
        </w:rPr>
        <w:t>Five Key Questions Form Foundation of Media Inquiry</w:t>
      </w:r>
      <w:r>
        <w:t xml:space="preserve">, </w:t>
      </w:r>
      <w:r>
        <w:rPr>
          <w:smallCaps/>
        </w:rPr>
        <w:t xml:space="preserve">Ctr. Media Literacy, </w:t>
      </w:r>
      <w:r w:rsidRPr="008C3A91">
        <w:t>http://www.medialit.org/reading-room/five-key-questions-form-foundation-media-inquiry/</w:t>
      </w:r>
      <w:r>
        <w:t>.</w:t>
      </w:r>
    </w:p>
    <w:p w14:paraId="5F449E5A" w14:textId="77777777" w:rsidR="00BF48DB" w:rsidRDefault="00BF48DB" w:rsidP="0012754B">
      <w:pPr>
        <w:pStyle w:val="FootnoteText"/>
      </w:pPr>
    </w:p>
    <w:tbl>
      <w:tblPr>
        <w:tblStyle w:val="TableGrid"/>
        <w:tblW w:w="0" w:type="auto"/>
        <w:tblLook w:val="04A0" w:firstRow="1" w:lastRow="0" w:firstColumn="1" w:lastColumn="0" w:noHBand="0" w:noVBand="1"/>
      </w:tblPr>
      <w:tblGrid>
        <w:gridCol w:w="355"/>
        <w:gridCol w:w="1170"/>
        <w:gridCol w:w="3600"/>
        <w:gridCol w:w="4140"/>
      </w:tblGrid>
      <w:tr w:rsidR="00BF48DB" w14:paraId="39237E30" w14:textId="77777777" w:rsidTr="002919C4">
        <w:tc>
          <w:tcPr>
            <w:tcW w:w="355" w:type="dxa"/>
          </w:tcPr>
          <w:p w14:paraId="667BBDE2" w14:textId="77777777" w:rsidR="00BF48DB" w:rsidRDefault="00BF48DB">
            <w:pPr>
              <w:pStyle w:val="FootnoteText"/>
            </w:pPr>
          </w:p>
        </w:tc>
        <w:tc>
          <w:tcPr>
            <w:tcW w:w="1170" w:type="dxa"/>
          </w:tcPr>
          <w:p w14:paraId="3430631D" w14:textId="77777777" w:rsidR="00BF48DB" w:rsidRDefault="00BF48DB">
            <w:pPr>
              <w:pStyle w:val="FootnoteText"/>
            </w:pPr>
            <w:r>
              <w:t>Keyword</w:t>
            </w:r>
          </w:p>
        </w:tc>
        <w:tc>
          <w:tcPr>
            <w:tcW w:w="3600" w:type="dxa"/>
          </w:tcPr>
          <w:p w14:paraId="3F572B79" w14:textId="77777777" w:rsidR="00BF48DB" w:rsidRDefault="00BF48DB">
            <w:pPr>
              <w:pStyle w:val="FootnoteText"/>
            </w:pPr>
            <w:r>
              <w:t>Five Core Concepts</w:t>
            </w:r>
          </w:p>
        </w:tc>
        <w:tc>
          <w:tcPr>
            <w:tcW w:w="4140" w:type="dxa"/>
          </w:tcPr>
          <w:p w14:paraId="0E2B95EE" w14:textId="77777777" w:rsidR="00BF48DB" w:rsidRDefault="00BF48DB">
            <w:pPr>
              <w:pStyle w:val="FootnoteText"/>
            </w:pPr>
            <w:r>
              <w:t>Five Key Questions</w:t>
            </w:r>
          </w:p>
        </w:tc>
      </w:tr>
      <w:tr w:rsidR="00BF48DB" w14:paraId="3797DBF2" w14:textId="77777777" w:rsidTr="002919C4">
        <w:tc>
          <w:tcPr>
            <w:tcW w:w="355" w:type="dxa"/>
          </w:tcPr>
          <w:p w14:paraId="21ACD028" w14:textId="77777777" w:rsidR="00BF48DB" w:rsidRDefault="00BF48DB">
            <w:pPr>
              <w:pStyle w:val="FootnoteText"/>
            </w:pPr>
            <w:r>
              <w:t>1</w:t>
            </w:r>
          </w:p>
        </w:tc>
        <w:tc>
          <w:tcPr>
            <w:tcW w:w="1170" w:type="dxa"/>
          </w:tcPr>
          <w:p w14:paraId="7DBA4467" w14:textId="77777777" w:rsidR="00BF48DB" w:rsidRDefault="00BF48DB">
            <w:pPr>
              <w:pStyle w:val="FootnoteText"/>
            </w:pPr>
            <w:r>
              <w:t>Authorship</w:t>
            </w:r>
          </w:p>
        </w:tc>
        <w:tc>
          <w:tcPr>
            <w:tcW w:w="3600" w:type="dxa"/>
          </w:tcPr>
          <w:p w14:paraId="6DDF1442" w14:textId="77777777" w:rsidR="00BF48DB" w:rsidRDefault="00BF48DB">
            <w:pPr>
              <w:pStyle w:val="FootnoteText"/>
            </w:pPr>
            <w:r>
              <w:t xml:space="preserve">All media messages are </w:t>
            </w:r>
            <w:r w:rsidRPr="00AA79E6">
              <w:t>"constructed."</w:t>
            </w:r>
          </w:p>
        </w:tc>
        <w:tc>
          <w:tcPr>
            <w:tcW w:w="4140" w:type="dxa"/>
          </w:tcPr>
          <w:p w14:paraId="22191719" w14:textId="77777777" w:rsidR="00BF48DB" w:rsidRDefault="00BF48DB">
            <w:pPr>
              <w:pStyle w:val="FootnoteText"/>
            </w:pPr>
            <w:r>
              <w:t>Who created this message?</w:t>
            </w:r>
          </w:p>
        </w:tc>
      </w:tr>
      <w:tr w:rsidR="00BF48DB" w14:paraId="22BE746E" w14:textId="77777777" w:rsidTr="002919C4">
        <w:tc>
          <w:tcPr>
            <w:tcW w:w="355" w:type="dxa"/>
          </w:tcPr>
          <w:p w14:paraId="57DD9FCA" w14:textId="77777777" w:rsidR="00BF48DB" w:rsidRDefault="00BF48DB">
            <w:pPr>
              <w:pStyle w:val="FootnoteText"/>
            </w:pPr>
            <w:r>
              <w:t>2</w:t>
            </w:r>
          </w:p>
        </w:tc>
        <w:tc>
          <w:tcPr>
            <w:tcW w:w="1170" w:type="dxa"/>
          </w:tcPr>
          <w:p w14:paraId="6C47F028" w14:textId="77777777" w:rsidR="00BF48DB" w:rsidRDefault="00BF48DB">
            <w:pPr>
              <w:pStyle w:val="FootnoteText"/>
            </w:pPr>
            <w:r>
              <w:t>Format</w:t>
            </w:r>
          </w:p>
        </w:tc>
        <w:tc>
          <w:tcPr>
            <w:tcW w:w="3600" w:type="dxa"/>
          </w:tcPr>
          <w:p w14:paraId="1ED51E54" w14:textId="77777777" w:rsidR="00BF48DB" w:rsidRDefault="00BF48DB">
            <w:pPr>
              <w:pStyle w:val="FootnoteText"/>
            </w:pPr>
            <w:r w:rsidRPr="00AA79E6">
              <w:t>Media messages are constructed using a creative language with its own rules.</w:t>
            </w:r>
          </w:p>
        </w:tc>
        <w:tc>
          <w:tcPr>
            <w:tcW w:w="4140" w:type="dxa"/>
          </w:tcPr>
          <w:p w14:paraId="70F9304A" w14:textId="77777777" w:rsidR="00BF48DB" w:rsidRDefault="00BF48DB">
            <w:pPr>
              <w:pStyle w:val="FootnoteText"/>
            </w:pPr>
            <w:r w:rsidRPr="00AA79E6">
              <w:t>What creative techniques are used to attract my attention?</w:t>
            </w:r>
          </w:p>
        </w:tc>
      </w:tr>
      <w:tr w:rsidR="00BF48DB" w14:paraId="583E9B30" w14:textId="77777777" w:rsidTr="002919C4">
        <w:tc>
          <w:tcPr>
            <w:tcW w:w="355" w:type="dxa"/>
          </w:tcPr>
          <w:p w14:paraId="7F856903" w14:textId="77777777" w:rsidR="00BF48DB" w:rsidRDefault="00BF48DB">
            <w:pPr>
              <w:pStyle w:val="FootnoteText"/>
            </w:pPr>
            <w:r>
              <w:t>3</w:t>
            </w:r>
          </w:p>
        </w:tc>
        <w:tc>
          <w:tcPr>
            <w:tcW w:w="1170" w:type="dxa"/>
          </w:tcPr>
          <w:p w14:paraId="3C1A9C1D" w14:textId="77777777" w:rsidR="00BF48DB" w:rsidRDefault="00BF48DB">
            <w:pPr>
              <w:pStyle w:val="FootnoteText"/>
            </w:pPr>
            <w:r>
              <w:t>Audience</w:t>
            </w:r>
          </w:p>
        </w:tc>
        <w:tc>
          <w:tcPr>
            <w:tcW w:w="3600" w:type="dxa"/>
          </w:tcPr>
          <w:p w14:paraId="63E3E078" w14:textId="77777777" w:rsidR="00BF48DB" w:rsidRDefault="00BF48DB">
            <w:pPr>
              <w:pStyle w:val="FootnoteText"/>
            </w:pPr>
            <w:r w:rsidRPr="00AA79E6">
              <w:t>Different people experience the same media message differently.</w:t>
            </w:r>
            <w:r w:rsidRPr="00AA79E6">
              <w:tab/>
            </w:r>
          </w:p>
        </w:tc>
        <w:tc>
          <w:tcPr>
            <w:tcW w:w="4140" w:type="dxa"/>
          </w:tcPr>
          <w:p w14:paraId="382756ED" w14:textId="77777777" w:rsidR="00BF48DB" w:rsidRDefault="00BF48DB">
            <w:pPr>
              <w:pStyle w:val="FootnoteText"/>
            </w:pPr>
            <w:r w:rsidRPr="00AA79E6">
              <w:t>How might different people understand this message differently from me?</w:t>
            </w:r>
          </w:p>
        </w:tc>
      </w:tr>
      <w:tr w:rsidR="00BF48DB" w14:paraId="113E5F06" w14:textId="77777777" w:rsidTr="002919C4">
        <w:tc>
          <w:tcPr>
            <w:tcW w:w="355" w:type="dxa"/>
          </w:tcPr>
          <w:p w14:paraId="74D45926" w14:textId="77777777" w:rsidR="00BF48DB" w:rsidRDefault="00BF48DB">
            <w:pPr>
              <w:pStyle w:val="FootnoteText"/>
            </w:pPr>
            <w:r>
              <w:t>4</w:t>
            </w:r>
          </w:p>
        </w:tc>
        <w:tc>
          <w:tcPr>
            <w:tcW w:w="1170" w:type="dxa"/>
          </w:tcPr>
          <w:p w14:paraId="116D0968" w14:textId="77777777" w:rsidR="00BF48DB" w:rsidRDefault="00BF48DB">
            <w:pPr>
              <w:pStyle w:val="FootnoteText"/>
            </w:pPr>
            <w:r>
              <w:t>Content</w:t>
            </w:r>
          </w:p>
        </w:tc>
        <w:tc>
          <w:tcPr>
            <w:tcW w:w="3600" w:type="dxa"/>
          </w:tcPr>
          <w:p w14:paraId="1F0EA556" w14:textId="77777777" w:rsidR="00BF48DB" w:rsidRDefault="00BF48DB">
            <w:pPr>
              <w:pStyle w:val="FootnoteText"/>
            </w:pPr>
            <w:r w:rsidRPr="00AA79E6">
              <w:t>Media have embedded values and points of view.</w:t>
            </w:r>
          </w:p>
        </w:tc>
        <w:tc>
          <w:tcPr>
            <w:tcW w:w="4140" w:type="dxa"/>
          </w:tcPr>
          <w:p w14:paraId="0FE9A3D2" w14:textId="77777777" w:rsidR="00BF48DB" w:rsidRDefault="00BF48DB">
            <w:pPr>
              <w:pStyle w:val="FootnoteText"/>
            </w:pPr>
            <w:r w:rsidRPr="00AA79E6">
              <w:t>What lifestyles, values and points of view are represented in; or omitted from, this message?</w:t>
            </w:r>
          </w:p>
        </w:tc>
      </w:tr>
      <w:tr w:rsidR="00BF48DB" w14:paraId="65E44322" w14:textId="77777777" w:rsidTr="002919C4">
        <w:tc>
          <w:tcPr>
            <w:tcW w:w="355" w:type="dxa"/>
          </w:tcPr>
          <w:p w14:paraId="20D01158" w14:textId="77777777" w:rsidR="00BF48DB" w:rsidRDefault="00BF48DB">
            <w:pPr>
              <w:pStyle w:val="FootnoteText"/>
            </w:pPr>
            <w:r>
              <w:t>5</w:t>
            </w:r>
          </w:p>
        </w:tc>
        <w:tc>
          <w:tcPr>
            <w:tcW w:w="1170" w:type="dxa"/>
          </w:tcPr>
          <w:p w14:paraId="69361E3B" w14:textId="77777777" w:rsidR="00BF48DB" w:rsidRDefault="00BF48DB">
            <w:pPr>
              <w:pStyle w:val="FootnoteText"/>
            </w:pPr>
            <w:r>
              <w:t>Purpose</w:t>
            </w:r>
          </w:p>
        </w:tc>
        <w:tc>
          <w:tcPr>
            <w:tcW w:w="3600" w:type="dxa"/>
          </w:tcPr>
          <w:p w14:paraId="5C329F4A" w14:textId="77777777" w:rsidR="00BF48DB" w:rsidRDefault="00BF48DB">
            <w:pPr>
              <w:pStyle w:val="FootnoteText"/>
            </w:pPr>
            <w:r w:rsidRPr="00AA79E6">
              <w:t>Most media are organized to gain profit and/or power.</w:t>
            </w:r>
          </w:p>
        </w:tc>
        <w:tc>
          <w:tcPr>
            <w:tcW w:w="4140" w:type="dxa"/>
          </w:tcPr>
          <w:p w14:paraId="1D15BC44" w14:textId="77777777" w:rsidR="00BF48DB" w:rsidRDefault="00BF48DB">
            <w:pPr>
              <w:pStyle w:val="FootnoteText"/>
            </w:pPr>
            <w:r>
              <w:t>Why is this message being sent?</w:t>
            </w:r>
          </w:p>
        </w:tc>
      </w:tr>
    </w:tbl>
    <w:p w14:paraId="00F065AB" w14:textId="77777777" w:rsidR="00BF48DB" w:rsidRDefault="00BF48DB" w:rsidP="0012754B">
      <w:pPr>
        <w:pStyle w:val="FootnoteText"/>
      </w:pPr>
    </w:p>
    <w:p w14:paraId="2178FD55" w14:textId="77777777" w:rsidR="00BF48DB" w:rsidRPr="008C3A91" w:rsidRDefault="00BF48DB" w:rsidP="0012754B">
      <w:pPr>
        <w:pStyle w:val="FootnoteText"/>
      </w:pPr>
      <w:r>
        <w:rPr>
          <w:i/>
        </w:rPr>
        <w:t>Id.</w:t>
      </w:r>
    </w:p>
  </w:footnote>
  <w:footnote w:id="314">
    <w:p w14:paraId="399B5FCD" w14:textId="77777777" w:rsidR="00BF48DB" w:rsidRPr="008C3A91" w:rsidRDefault="00BF48DB" w:rsidP="0012754B">
      <w:pPr>
        <w:pStyle w:val="FootnoteText"/>
        <w:rPr>
          <w:i/>
        </w:rPr>
      </w:pPr>
      <w:r>
        <w:rPr>
          <w:rStyle w:val="FootnoteReference"/>
        </w:rPr>
        <w:footnoteRef/>
      </w:r>
      <w:r>
        <w:t xml:space="preserve"> </w:t>
      </w:r>
      <w:r>
        <w:rPr>
          <w:i/>
        </w:rPr>
        <w:t>Id.</w:t>
      </w:r>
    </w:p>
  </w:footnote>
  <w:footnote w:id="315">
    <w:p w14:paraId="18B70A1D" w14:textId="079A0F87" w:rsidR="00BF48DB" w:rsidRPr="00EF30D4" w:rsidRDefault="00BF48DB" w:rsidP="0012754B">
      <w:pPr>
        <w:pStyle w:val="FootnoteText"/>
      </w:pPr>
      <w:r>
        <w:rPr>
          <w:rStyle w:val="FootnoteReference"/>
        </w:rPr>
        <w:footnoteRef/>
      </w:r>
      <w:r>
        <w:t xml:space="preserve"> Camila </w:t>
      </w:r>
      <w:proofErr w:type="spellStart"/>
      <w:r>
        <w:t>Domonoske</w:t>
      </w:r>
      <w:proofErr w:type="spellEnd"/>
      <w:r>
        <w:t xml:space="preserve">, </w:t>
      </w:r>
      <w:r>
        <w:rPr>
          <w:i/>
        </w:rPr>
        <w:t>Students Have ‘Dismaying’ Inability to Tell Fake News from Real, Study Finds</w:t>
      </w:r>
      <w:r>
        <w:t xml:space="preserve">, </w:t>
      </w:r>
      <w:r>
        <w:rPr>
          <w:smallCaps/>
        </w:rPr>
        <w:t>NPR</w:t>
      </w:r>
      <w:r>
        <w:t xml:space="preserve"> (Nov. 23, 2016), </w:t>
      </w:r>
      <w:r w:rsidRPr="00EF30D4">
        <w:t>https://www.npr.org/sections/thetwo-way/2016/11/23/503129818/study-finds-students-have-dismaying-inability-to-tell-fake-news-from-real</w:t>
      </w:r>
      <w:r>
        <w:t xml:space="preserve"> (citing Sam </w:t>
      </w:r>
      <w:proofErr w:type="spellStart"/>
      <w:r>
        <w:t>Wineburg</w:t>
      </w:r>
      <w:proofErr w:type="spellEnd"/>
      <w:r>
        <w:t xml:space="preserve"> et al., </w:t>
      </w:r>
      <w:r w:rsidRPr="00D25985">
        <w:rPr>
          <w:i/>
        </w:rPr>
        <w:t>Evaluating Information: The Cornerstone of Civic Online Reasoning</w:t>
      </w:r>
      <w:r>
        <w:t xml:space="preserve">, </w:t>
      </w:r>
      <w:r w:rsidRPr="00D33F9E">
        <w:rPr>
          <w:smallCaps/>
        </w:rPr>
        <w:t>Stan. Digital Repository</w:t>
      </w:r>
      <w:r>
        <w:t xml:space="preserve"> (Nov. 22, 2016), </w:t>
      </w:r>
      <w:r w:rsidRPr="00D33F9E">
        <w:t>https://purl.stanford.edu/fv751yt5934</w:t>
      </w:r>
      <w:r>
        <w:t>).</w:t>
      </w:r>
    </w:p>
  </w:footnote>
  <w:footnote w:id="316">
    <w:p w14:paraId="410BB308" w14:textId="07AFB440" w:rsidR="00BF48DB" w:rsidRPr="00037EDC" w:rsidRDefault="00BF48DB" w:rsidP="0012754B">
      <w:pPr>
        <w:pStyle w:val="FootnoteText"/>
      </w:pPr>
      <w:r>
        <w:rPr>
          <w:rStyle w:val="FootnoteReference"/>
        </w:rPr>
        <w:footnoteRef/>
      </w:r>
      <w:r>
        <w:t xml:space="preserve"> </w:t>
      </w:r>
      <w:r>
        <w:rPr>
          <w:i/>
        </w:rPr>
        <w:t xml:space="preserve">See, e.g., </w:t>
      </w:r>
      <w:proofErr w:type="spellStart"/>
      <w:r>
        <w:t>Seow</w:t>
      </w:r>
      <w:proofErr w:type="spellEnd"/>
      <w:r>
        <w:t xml:space="preserve"> Bei Yi, </w:t>
      </w:r>
      <w:r>
        <w:rPr>
          <w:i/>
        </w:rPr>
        <w:t>Media Literacy a Long-Term Measure</w:t>
      </w:r>
      <w:r>
        <w:t xml:space="preserve">, </w:t>
      </w:r>
      <w:r>
        <w:rPr>
          <w:smallCaps/>
        </w:rPr>
        <w:t xml:space="preserve">Straits </w:t>
      </w:r>
      <w:r w:rsidRPr="00C64EB3">
        <w:rPr>
          <w:smallCaps/>
        </w:rPr>
        <w:t>Times</w:t>
      </w:r>
      <w:r>
        <w:t xml:space="preserve"> (</w:t>
      </w:r>
      <w:r w:rsidRPr="00C64EB3">
        <w:t>Apr</w:t>
      </w:r>
      <w:r>
        <w:t xml:space="preserve">. 1, 2018), </w:t>
      </w:r>
      <w:r w:rsidRPr="00C64EB3">
        <w:t>https://www.straitstimes.com/politics/media-literacy-a-long-term-measure</w:t>
      </w:r>
      <w:r>
        <w:t xml:space="preserve">; Rebecca Watson &amp; Lisa M. Vaughn, </w:t>
      </w:r>
      <w:r w:rsidRPr="00037EDC">
        <w:rPr>
          <w:i/>
        </w:rPr>
        <w:t xml:space="preserve">Limiting the Effects of the Media on Body Image: Does the Length of a Media Literacy Intervention Make a </w:t>
      </w:r>
      <w:proofErr w:type="gramStart"/>
      <w:r w:rsidRPr="00037EDC">
        <w:rPr>
          <w:i/>
        </w:rPr>
        <w:t>Difference?</w:t>
      </w:r>
      <w:r>
        <w:t>,</w:t>
      </w:r>
      <w:proofErr w:type="gramEnd"/>
      <w:r>
        <w:t xml:space="preserve"> 14 </w:t>
      </w:r>
      <w:r>
        <w:rPr>
          <w:smallCaps/>
        </w:rPr>
        <w:t>Eating Disorders</w:t>
      </w:r>
      <w:r>
        <w:t xml:space="preserve"> 385, 395 (2006) (finding that in the context of body image long-term media literacy interventions are more effective than shorter-term counterparts).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06744"/>
    <w:multiLevelType w:val="hybridMultilevel"/>
    <w:tmpl w:val="498877DE"/>
    <w:lvl w:ilvl="0" w:tplc="55F4F38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29"/>
    <w:rsid w:val="00001891"/>
    <w:rsid w:val="00002853"/>
    <w:rsid w:val="0000567E"/>
    <w:rsid w:val="00005E25"/>
    <w:rsid w:val="00007EBE"/>
    <w:rsid w:val="00012188"/>
    <w:rsid w:val="00013481"/>
    <w:rsid w:val="00020115"/>
    <w:rsid w:val="00020BD5"/>
    <w:rsid w:val="00021716"/>
    <w:rsid w:val="00023D54"/>
    <w:rsid w:val="000251C4"/>
    <w:rsid w:val="00040169"/>
    <w:rsid w:val="0004055C"/>
    <w:rsid w:val="000425B1"/>
    <w:rsid w:val="00045D2B"/>
    <w:rsid w:val="00046EA4"/>
    <w:rsid w:val="00046FF3"/>
    <w:rsid w:val="00047708"/>
    <w:rsid w:val="00052D56"/>
    <w:rsid w:val="000537A4"/>
    <w:rsid w:val="000545E0"/>
    <w:rsid w:val="00056BEB"/>
    <w:rsid w:val="0005761E"/>
    <w:rsid w:val="00062195"/>
    <w:rsid w:val="00064DB3"/>
    <w:rsid w:val="00067BB4"/>
    <w:rsid w:val="00072952"/>
    <w:rsid w:val="0007558D"/>
    <w:rsid w:val="00075A82"/>
    <w:rsid w:val="0008026C"/>
    <w:rsid w:val="00080A9B"/>
    <w:rsid w:val="000823B9"/>
    <w:rsid w:val="00085D28"/>
    <w:rsid w:val="00091B85"/>
    <w:rsid w:val="00093AC3"/>
    <w:rsid w:val="00097FBE"/>
    <w:rsid w:val="000A4F99"/>
    <w:rsid w:val="000B3214"/>
    <w:rsid w:val="000B3F50"/>
    <w:rsid w:val="000B5B0C"/>
    <w:rsid w:val="000B6A4A"/>
    <w:rsid w:val="000C5E30"/>
    <w:rsid w:val="000C6FFA"/>
    <w:rsid w:val="000D1EF2"/>
    <w:rsid w:val="000D43D7"/>
    <w:rsid w:val="000D6FFD"/>
    <w:rsid w:val="000E30A5"/>
    <w:rsid w:val="000E6E7B"/>
    <w:rsid w:val="000F3AD7"/>
    <w:rsid w:val="000F4135"/>
    <w:rsid w:val="000F452A"/>
    <w:rsid w:val="000F652C"/>
    <w:rsid w:val="000F794A"/>
    <w:rsid w:val="00101044"/>
    <w:rsid w:val="00103EDD"/>
    <w:rsid w:val="00106A2E"/>
    <w:rsid w:val="00110D65"/>
    <w:rsid w:val="00111139"/>
    <w:rsid w:val="001149EA"/>
    <w:rsid w:val="00114DDC"/>
    <w:rsid w:val="00115212"/>
    <w:rsid w:val="00115659"/>
    <w:rsid w:val="00117BE1"/>
    <w:rsid w:val="00122F77"/>
    <w:rsid w:val="001256DD"/>
    <w:rsid w:val="0012754B"/>
    <w:rsid w:val="00130B96"/>
    <w:rsid w:val="00132DB1"/>
    <w:rsid w:val="00143FD9"/>
    <w:rsid w:val="00145CC8"/>
    <w:rsid w:val="00147E14"/>
    <w:rsid w:val="00150A57"/>
    <w:rsid w:val="0015291F"/>
    <w:rsid w:val="00162A99"/>
    <w:rsid w:val="00165425"/>
    <w:rsid w:val="001657CF"/>
    <w:rsid w:val="00165E85"/>
    <w:rsid w:val="00172703"/>
    <w:rsid w:val="00173A25"/>
    <w:rsid w:val="001903ED"/>
    <w:rsid w:val="001909A1"/>
    <w:rsid w:val="00193EEB"/>
    <w:rsid w:val="00194F0C"/>
    <w:rsid w:val="00195126"/>
    <w:rsid w:val="001966F1"/>
    <w:rsid w:val="001A0E77"/>
    <w:rsid w:val="001B15C4"/>
    <w:rsid w:val="001B45CC"/>
    <w:rsid w:val="001B6BDB"/>
    <w:rsid w:val="001B7E56"/>
    <w:rsid w:val="001C2F09"/>
    <w:rsid w:val="001C5A35"/>
    <w:rsid w:val="001C5CE8"/>
    <w:rsid w:val="001C725A"/>
    <w:rsid w:val="001C732B"/>
    <w:rsid w:val="001D0331"/>
    <w:rsid w:val="001D0A72"/>
    <w:rsid w:val="001D5AA6"/>
    <w:rsid w:val="001D7D14"/>
    <w:rsid w:val="001E1299"/>
    <w:rsid w:val="001E276A"/>
    <w:rsid w:val="001E379A"/>
    <w:rsid w:val="001E6B51"/>
    <w:rsid w:val="001F0CED"/>
    <w:rsid w:val="001F1CC9"/>
    <w:rsid w:val="001F227B"/>
    <w:rsid w:val="001F394C"/>
    <w:rsid w:val="001F4BED"/>
    <w:rsid w:val="002002FC"/>
    <w:rsid w:val="002027F8"/>
    <w:rsid w:val="0020441F"/>
    <w:rsid w:val="0020598D"/>
    <w:rsid w:val="00206667"/>
    <w:rsid w:val="00210A9B"/>
    <w:rsid w:val="002140A4"/>
    <w:rsid w:val="00217C6A"/>
    <w:rsid w:val="00221204"/>
    <w:rsid w:val="0022190C"/>
    <w:rsid w:val="00221B35"/>
    <w:rsid w:val="00221B81"/>
    <w:rsid w:val="002248AB"/>
    <w:rsid w:val="00225342"/>
    <w:rsid w:val="002265E1"/>
    <w:rsid w:val="00226CC0"/>
    <w:rsid w:val="002274D2"/>
    <w:rsid w:val="00237BC0"/>
    <w:rsid w:val="00240077"/>
    <w:rsid w:val="002413AF"/>
    <w:rsid w:val="00243396"/>
    <w:rsid w:val="00246580"/>
    <w:rsid w:val="00250707"/>
    <w:rsid w:val="00251FCE"/>
    <w:rsid w:val="00252ADC"/>
    <w:rsid w:val="0025338A"/>
    <w:rsid w:val="00254199"/>
    <w:rsid w:val="002551D7"/>
    <w:rsid w:val="00256246"/>
    <w:rsid w:val="0026017D"/>
    <w:rsid w:val="00260325"/>
    <w:rsid w:val="00262183"/>
    <w:rsid w:val="0026300A"/>
    <w:rsid w:val="0026632B"/>
    <w:rsid w:val="002701FC"/>
    <w:rsid w:val="00271660"/>
    <w:rsid w:val="00271B13"/>
    <w:rsid w:val="00273989"/>
    <w:rsid w:val="002757C0"/>
    <w:rsid w:val="002806B8"/>
    <w:rsid w:val="002828D4"/>
    <w:rsid w:val="00283F36"/>
    <w:rsid w:val="0028460C"/>
    <w:rsid w:val="002864ED"/>
    <w:rsid w:val="00291426"/>
    <w:rsid w:val="002919C4"/>
    <w:rsid w:val="00291AC4"/>
    <w:rsid w:val="00294EED"/>
    <w:rsid w:val="002A02E6"/>
    <w:rsid w:val="002A046E"/>
    <w:rsid w:val="002A6BE2"/>
    <w:rsid w:val="002B21FB"/>
    <w:rsid w:val="002B26BC"/>
    <w:rsid w:val="002B76DF"/>
    <w:rsid w:val="002B7B70"/>
    <w:rsid w:val="002C0EF1"/>
    <w:rsid w:val="002C2847"/>
    <w:rsid w:val="002C4238"/>
    <w:rsid w:val="002C5947"/>
    <w:rsid w:val="002C6C07"/>
    <w:rsid w:val="002D2E45"/>
    <w:rsid w:val="002E0911"/>
    <w:rsid w:val="002E7DD2"/>
    <w:rsid w:val="002F23C8"/>
    <w:rsid w:val="002F302D"/>
    <w:rsid w:val="002F369E"/>
    <w:rsid w:val="002F7180"/>
    <w:rsid w:val="00303FE2"/>
    <w:rsid w:val="00305047"/>
    <w:rsid w:val="003158DD"/>
    <w:rsid w:val="00320D7F"/>
    <w:rsid w:val="003216D5"/>
    <w:rsid w:val="003223A7"/>
    <w:rsid w:val="003243FD"/>
    <w:rsid w:val="0032440B"/>
    <w:rsid w:val="00325A41"/>
    <w:rsid w:val="0032613C"/>
    <w:rsid w:val="00326CA6"/>
    <w:rsid w:val="003278EE"/>
    <w:rsid w:val="00327BBA"/>
    <w:rsid w:val="00330EB4"/>
    <w:rsid w:val="003346E4"/>
    <w:rsid w:val="00342031"/>
    <w:rsid w:val="00350C09"/>
    <w:rsid w:val="003517E4"/>
    <w:rsid w:val="0035472A"/>
    <w:rsid w:val="00356D57"/>
    <w:rsid w:val="00357ACF"/>
    <w:rsid w:val="00361073"/>
    <w:rsid w:val="003658E4"/>
    <w:rsid w:val="00366435"/>
    <w:rsid w:val="00372079"/>
    <w:rsid w:val="00373887"/>
    <w:rsid w:val="00380992"/>
    <w:rsid w:val="003840B6"/>
    <w:rsid w:val="00386CDB"/>
    <w:rsid w:val="0038712F"/>
    <w:rsid w:val="003910DD"/>
    <w:rsid w:val="00393629"/>
    <w:rsid w:val="0039590F"/>
    <w:rsid w:val="0039669D"/>
    <w:rsid w:val="003A127E"/>
    <w:rsid w:val="003A2666"/>
    <w:rsid w:val="003A365F"/>
    <w:rsid w:val="003B222E"/>
    <w:rsid w:val="003B556E"/>
    <w:rsid w:val="003B5809"/>
    <w:rsid w:val="003B7986"/>
    <w:rsid w:val="003C434B"/>
    <w:rsid w:val="003C71F2"/>
    <w:rsid w:val="003D12BB"/>
    <w:rsid w:val="003D1AE9"/>
    <w:rsid w:val="003E7DFC"/>
    <w:rsid w:val="00402D32"/>
    <w:rsid w:val="004040EA"/>
    <w:rsid w:val="00406A0B"/>
    <w:rsid w:val="00410193"/>
    <w:rsid w:val="00411CB3"/>
    <w:rsid w:val="0041382A"/>
    <w:rsid w:val="0041477B"/>
    <w:rsid w:val="00414DFE"/>
    <w:rsid w:val="00422F83"/>
    <w:rsid w:val="00423D5D"/>
    <w:rsid w:val="004242B5"/>
    <w:rsid w:val="00426220"/>
    <w:rsid w:val="00426A07"/>
    <w:rsid w:val="00431E20"/>
    <w:rsid w:val="004327CA"/>
    <w:rsid w:val="0043443E"/>
    <w:rsid w:val="00434EDC"/>
    <w:rsid w:val="00435BDA"/>
    <w:rsid w:val="004400EF"/>
    <w:rsid w:val="00440839"/>
    <w:rsid w:val="00441616"/>
    <w:rsid w:val="00445726"/>
    <w:rsid w:val="00445945"/>
    <w:rsid w:val="00446C1D"/>
    <w:rsid w:val="004534CA"/>
    <w:rsid w:val="0045358E"/>
    <w:rsid w:val="00457BB0"/>
    <w:rsid w:val="00464201"/>
    <w:rsid w:val="0046428B"/>
    <w:rsid w:val="0046630D"/>
    <w:rsid w:val="0046734A"/>
    <w:rsid w:val="004707C2"/>
    <w:rsid w:val="00472CA6"/>
    <w:rsid w:val="004746B4"/>
    <w:rsid w:val="004750DB"/>
    <w:rsid w:val="00482B58"/>
    <w:rsid w:val="00484C27"/>
    <w:rsid w:val="00487A86"/>
    <w:rsid w:val="004922C6"/>
    <w:rsid w:val="00493732"/>
    <w:rsid w:val="00493770"/>
    <w:rsid w:val="00493F3A"/>
    <w:rsid w:val="00494100"/>
    <w:rsid w:val="00494839"/>
    <w:rsid w:val="00496E23"/>
    <w:rsid w:val="00497224"/>
    <w:rsid w:val="004972B5"/>
    <w:rsid w:val="004977BC"/>
    <w:rsid w:val="004A2AD7"/>
    <w:rsid w:val="004A595C"/>
    <w:rsid w:val="004A649E"/>
    <w:rsid w:val="004B0E76"/>
    <w:rsid w:val="004B1184"/>
    <w:rsid w:val="004B376E"/>
    <w:rsid w:val="004B7945"/>
    <w:rsid w:val="004C065C"/>
    <w:rsid w:val="004C137E"/>
    <w:rsid w:val="004C2783"/>
    <w:rsid w:val="004C2846"/>
    <w:rsid w:val="004C51BA"/>
    <w:rsid w:val="004D0DBF"/>
    <w:rsid w:val="004D2CBC"/>
    <w:rsid w:val="004D5F6E"/>
    <w:rsid w:val="004E0F18"/>
    <w:rsid w:val="004E2EAE"/>
    <w:rsid w:val="004E4629"/>
    <w:rsid w:val="004E59DB"/>
    <w:rsid w:val="004E68CB"/>
    <w:rsid w:val="004E7559"/>
    <w:rsid w:val="004F0EBA"/>
    <w:rsid w:val="004F3D29"/>
    <w:rsid w:val="004F3EF1"/>
    <w:rsid w:val="004F4144"/>
    <w:rsid w:val="004F5E1A"/>
    <w:rsid w:val="004F64F5"/>
    <w:rsid w:val="004F6CEC"/>
    <w:rsid w:val="004F7D4D"/>
    <w:rsid w:val="00502BD0"/>
    <w:rsid w:val="0050599A"/>
    <w:rsid w:val="00506F53"/>
    <w:rsid w:val="005163C4"/>
    <w:rsid w:val="00517CF7"/>
    <w:rsid w:val="005211F4"/>
    <w:rsid w:val="0052671D"/>
    <w:rsid w:val="00527323"/>
    <w:rsid w:val="005277DC"/>
    <w:rsid w:val="00530756"/>
    <w:rsid w:val="00532FDB"/>
    <w:rsid w:val="005355E0"/>
    <w:rsid w:val="00540069"/>
    <w:rsid w:val="00540723"/>
    <w:rsid w:val="005407EA"/>
    <w:rsid w:val="00540905"/>
    <w:rsid w:val="00542AD6"/>
    <w:rsid w:val="00544A08"/>
    <w:rsid w:val="00547D9F"/>
    <w:rsid w:val="0056249C"/>
    <w:rsid w:val="00570D8F"/>
    <w:rsid w:val="00570DDB"/>
    <w:rsid w:val="00575C5C"/>
    <w:rsid w:val="00575F4B"/>
    <w:rsid w:val="00576B8C"/>
    <w:rsid w:val="00576B96"/>
    <w:rsid w:val="00577AAF"/>
    <w:rsid w:val="0058244A"/>
    <w:rsid w:val="0058289F"/>
    <w:rsid w:val="005867F0"/>
    <w:rsid w:val="00590DCB"/>
    <w:rsid w:val="005937A1"/>
    <w:rsid w:val="00594E0F"/>
    <w:rsid w:val="005A4573"/>
    <w:rsid w:val="005A4A4A"/>
    <w:rsid w:val="005A7276"/>
    <w:rsid w:val="005B41DA"/>
    <w:rsid w:val="005B435E"/>
    <w:rsid w:val="005B7894"/>
    <w:rsid w:val="005C3068"/>
    <w:rsid w:val="005C3B11"/>
    <w:rsid w:val="005C3FDC"/>
    <w:rsid w:val="005C796C"/>
    <w:rsid w:val="005D1458"/>
    <w:rsid w:val="005D15FE"/>
    <w:rsid w:val="005D1B56"/>
    <w:rsid w:val="005D20B7"/>
    <w:rsid w:val="005D364E"/>
    <w:rsid w:val="005D3C58"/>
    <w:rsid w:val="005D4176"/>
    <w:rsid w:val="005E67BD"/>
    <w:rsid w:val="005E7881"/>
    <w:rsid w:val="005F3792"/>
    <w:rsid w:val="005F5207"/>
    <w:rsid w:val="005F53CF"/>
    <w:rsid w:val="005F7634"/>
    <w:rsid w:val="00600D58"/>
    <w:rsid w:val="00601C9E"/>
    <w:rsid w:val="006160F2"/>
    <w:rsid w:val="00616995"/>
    <w:rsid w:val="006177E9"/>
    <w:rsid w:val="00620A95"/>
    <w:rsid w:val="00621722"/>
    <w:rsid w:val="00625683"/>
    <w:rsid w:val="0062579F"/>
    <w:rsid w:val="00630727"/>
    <w:rsid w:val="0063122D"/>
    <w:rsid w:val="006319BA"/>
    <w:rsid w:val="00633BA1"/>
    <w:rsid w:val="00635A97"/>
    <w:rsid w:val="0064164A"/>
    <w:rsid w:val="00642802"/>
    <w:rsid w:val="0064661E"/>
    <w:rsid w:val="0064729F"/>
    <w:rsid w:val="006515B6"/>
    <w:rsid w:val="00654834"/>
    <w:rsid w:val="0066224B"/>
    <w:rsid w:val="0066363D"/>
    <w:rsid w:val="006639B8"/>
    <w:rsid w:val="00667909"/>
    <w:rsid w:val="00671038"/>
    <w:rsid w:val="00673471"/>
    <w:rsid w:val="0067487F"/>
    <w:rsid w:val="006768AF"/>
    <w:rsid w:val="00680F37"/>
    <w:rsid w:val="00683CC3"/>
    <w:rsid w:val="00684854"/>
    <w:rsid w:val="00684953"/>
    <w:rsid w:val="00684B8D"/>
    <w:rsid w:val="00690DD1"/>
    <w:rsid w:val="0069333D"/>
    <w:rsid w:val="00697A62"/>
    <w:rsid w:val="006A2F45"/>
    <w:rsid w:val="006A3799"/>
    <w:rsid w:val="006A3BCD"/>
    <w:rsid w:val="006A3FF4"/>
    <w:rsid w:val="006A7170"/>
    <w:rsid w:val="006A7B5A"/>
    <w:rsid w:val="006B07C9"/>
    <w:rsid w:val="006C5A07"/>
    <w:rsid w:val="006C7050"/>
    <w:rsid w:val="006C7B82"/>
    <w:rsid w:val="006D1161"/>
    <w:rsid w:val="006D37EC"/>
    <w:rsid w:val="006E0B7E"/>
    <w:rsid w:val="006E138B"/>
    <w:rsid w:val="006E5662"/>
    <w:rsid w:val="006E6D9C"/>
    <w:rsid w:val="006E7A38"/>
    <w:rsid w:val="006F6920"/>
    <w:rsid w:val="007038D1"/>
    <w:rsid w:val="00710254"/>
    <w:rsid w:val="007105E3"/>
    <w:rsid w:val="00714234"/>
    <w:rsid w:val="007154D4"/>
    <w:rsid w:val="00716AD9"/>
    <w:rsid w:val="00717E75"/>
    <w:rsid w:val="00721644"/>
    <w:rsid w:val="0073046A"/>
    <w:rsid w:val="00730F2B"/>
    <w:rsid w:val="00734E1A"/>
    <w:rsid w:val="00736D9C"/>
    <w:rsid w:val="007406AE"/>
    <w:rsid w:val="00742365"/>
    <w:rsid w:val="00742B0D"/>
    <w:rsid w:val="007512BF"/>
    <w:rsid w:val="007518E1"/>
    <w:rsid w:val="00765FB7"/>
    <w:rsid w:val="00766C1D"/>
    <w:rsid w:val="007677FF"/>
    <w:rsid w:val="007705BF"/>
    <w:rsid w:val="00771223"/>
    <w:rsid w:val="00773B64"/>
    <w:rsid w:val="007748E5"/>
    <w:rsid w:val="00781E7C"/>
    <w:rsid w:val="0078560B"/>
    <w:rsid w:val="00794539"/>
    <w:rsid w:val="0079497B"/>
    <w:rsid w:val="007956EE"/>
    <w:rsid w:val="00797AB7"/>
    <w:rsid w:val="007A0A02"/>
    <w:rsid w:val="007A1649"/>
    <w:rsid w:val="007A79A9"/>
    <w:rsid w:val="007B2240"/>
    <w:rsid w:val="007C1291"/>
    <w:rsid w:val="007C18FB"/>
    <w:rsid w:val="007C5CEB"/>
    <w:rsid w:val="007C67AF"/>
    <w:rsid w:val="007C6B7A"/>
    <w:rsid w:val="007D021D"/>
    <w:rsid w:val="007D582D"/>
    <w:rsid w:val="007E4F20"/>
    <w:rsid w:val="007F002A"/>
    <w:rsid w:val="007F0DD8"/>
    <w:rsid w:val="007F31BF"/>
    <w:rsid w:val="007F38AF"/>
    <w:rsid w:val="007F3993"/>
    <w:rsid w:val="007F498A"/>
    <w:rsid w:val="007F6145"/>
    <w:rsid w:val="008007CC"/>
    <w:rsid w:val="00801967"/>
    <w:rsid w:val="00803E24"/>
    <w:rsid w:val="00812AB1"/>
    <w:rsid w:val="0081415D"/>
    <w:rsid w:val="00815FA8"/>
    <w:rsid w:val="00820B16"/>
    <w:rsid w:val="00824A73"/>
    <w:rsid w:val="008265A9"/>
    <w:rsid w:val="00831F1E"/>
    <w:rsid w:val="00832D57"/>
    <w:rsid w:val="00832ED9"/>
    <w:rsid w:val="0083515D"/>
    <w:rsid w:val="008351D5"/>
    <w:rsid w:val="00835EAC"/>
    <w:rsid w:val="008363F6"/>
    <w:rsid w:val="008422C9"/>
    <w:rsid w:val="00843333"/>
    <w:rsid w:val="00843660"/>
    <w:rsid w:val="00845473"/>
    <w:rsid w:val="00846CEC"/>
    <w:rsid w:val="0085043E"/>
    <w:rsid w:val="00855698"/>
    <w:rsid w:val="008564CB"/>
    <w:rsid w:val="0086678A"/>
    <w:rsid w:val="00870C69"/>
    <w:rsid w:val="00871B2F"/>
    <w:rsid w:val="008757D5"/>
    <w:rsid w:val="00877265"/>
    <w:rsid w:val="00882F68"/>
    <w:rsid w:val="00883E6A"/>
    <w:rsid w:val="00887973"/>
    <w:rsid w:val="0088797A"/>
    <w:rsid w:val="008957BD"/>
    <w:rsid w:val="008960BC"/>
    <w:rsid w:val="008A3D7D"/>
    <w:rsid w:val="008A3F29"/>
    <w:rsid w:val="008B1633"/>
    <w:rsid w:val="008B4D43"/>
    <w:rsid w:val="008B52EE"/>
    <w:rsid w:val="008C2AF5"/>
    <w:rsid w:val="008C3577"/>
    <w:rsid w:val="008C3938"/>
    <w:rsid w:val="008C4BBB"/>
    <w:rsid w:val="008C5823"/>
    <w:rsid w:val="008C650B"/>
    <w:rsid w:val="008C69AC"/>
    <w:rsid w:val="008D0991"/>
    <w:rsid w:val="008D0EF8"/>
    <w:rsid w:val="008D108C"/>
    <w:rsid w:val="008D4D22"/>
    <w:rsid w:val="008D544C"/>
    <w:rsid w:val="008D54A2"/>
    <w:rsid w:val="008E171F"/>
    <w:rsid w:val="008E1A27"/>
    <w:rsid w:val="008F337A"/>
    <w:rsid w:val="008F4FD4"/>
    <w:rsid w:val="008F5DF6"/>
    <w:rsid w:val="008F6CC3"/>
    <w:rsid w:val="008F7C74"/>
    <w:rsid w:val="00902738"/>
    <w:rsid w:val="0091330B"/>
    <w:rsid w:val="009235CF"/>
    <w:rsid w:val="00927920"/>
    <w:rsid w:val="0093536C"/>
    <w:rsid w:val="00941386"/>
    <w:rsid w:val="009425C2"/>
    <w:rsid w:val="00942A0F"/>
    <w:rsid w:val="00947B9B"/>
    <w:rsid w:val="00950490"/>
    <w:rsid w:val="00960BFA"/>
    <w:rsid w:val="00962B60"/>
    <w:rsid w:val="0096497C"/>
    <w:rsid w:val="00967969"/>
    <w:rsid w:val="00971A1C"/>
    <w:rsid w:val="00972206"/>
    <w:rsid w:val="009729A5"/>
    <w:rsid w:val="009751AE"/>
    <w:rsid w:val="009765BA"/>
    <w:rsid w:val="00977CE2"/>
    <w:rsid w:val="00980500"/>
    <w:rsid w:val="00980789"/>
    <w:rsid w:val="00987C9D"/>
    <w:rsid w:val="00990555"/>
    <w:rsid w:val="00993040"/>
    <w:rsid w:val="0099427E"/>
    <w:rsid w:val="00994E12"/>
    <w:rsid w:val="00996CDF"/>
    <w:rsid w:val="009A0040"/>
    <w:rsid w:val="009A11C9"/>
    <w:rsid w:val="009A3485"/>
    <w:rsid w:val="009A56FB"/>
    <w:rsid w:val="009B5369"/>
    <w:rsid w:val="009B6513"/>
    <w:rsid w:val="009C0BF2"/>
    <w:rsid w:val="009C3563"/>
    <w:rsid w:val="009C5A16"/>
    <w:rsid w:val="009C62C8"/>
    <w:rsid w:val="009D0CB7"/>
    <w:rsid w:val="009D4E82"/>
    <w:rsid w:val="009E08F9"/>
    <w:rsid w:val="009E0CE8"/>
    <w:rsid w:val="009E1239"/>
    <w:rsid w:val="009E452A"/>
    <w:rsid w:val="009E4CE9"/>
    <w:rsid w:val="009E564A"/>
    <w:rsid w:val="009F06C0"/>
    <w:rsid w:val="009F6EDA"/>
    <w:rsid w:val="009F75AD"/>
    <w:rsid w:val="00A03A87"/>
    <w:rsid w:val="00A13F6D"/>
    <w:rsid w:val="00A23761"/>
    <w:rsid w:val="00A23CEA"/>
    <w:rsid w:val="00A25C5D"/>
    <w:rsid w:val="00A275B4"/>
    <w:rsid w:val="00A32EE6"/>
    <w:rsid w:val="00A33B50"/>
    <w:rsid w:val="00A33C0B"/>
    <w:rsid w:val="00A34470"/>
    <w:rsid w:val="00A453DE"/>
    <w:rsid w:val="00A46C5B"/>
    <w:rsid w:val="00A50FC6"/>
    <w:rsid w:val="00A55612"/>
    <w:rsid w:val="00A55FD5"/>
    <w:rsid w:val="00A57355"/>
    <w:rsid w:val="00A57864"/>
    <w:rsid w:val="00A57D47"/>
    <w:rsid w:val="00A61BF5"/>
    <w:rsid w:val="00A65AA7"/>
    <w:rsid w:val="00A80028"/>
    <w:rsid w:val="00A8547C"/>
    <w:rsid w:val="00A9086B"/>
    <w:rsid w:val="00A93E30"/>
    <w:rsid w:val="00A94E07"/>
    <w:rsid w:val="00A96941"/>
    <w:rsid w:val="00AA19BE"/>
    <w:rsid w:val="00AB64E5"/>
    <w:rsid w:val="00AB6DFB"/>
    <w:rsid w:val="00AC0E18"/>
    <w:rsid w:val="00AC2DB7"/>
    <w:rsid w:val="00AD45DC"/>
    <w:rsid w:val="00AD49E3"/>
    <w:rsid w:val="00AE01A6"/>
    <w:rsid w:val="00AE21F4"/>
    <w:rsid w:val="00AE3ED2"/>
    <w:rsid w:val="00AE504A"/>
    <w:rsid w:val="00AE5966"/>
    <w:rsid w:val="00AE628F"/>
    <w:rsid w:val="00AE673F"/>
    <w:rsid w:val="00AF1225"/>
    <w:rsid w:val="00AF15FD"/>
    <w:rsid w:val="00AF2CA7"/>
    <w:rsid w:val="00AF35ED"/>
    <w:rsid w:val="00AF3D5F"/>
    <w:rsid w:val="00AF68BB"/>
    <w:rsid w:val="00B00E6C"/>
    <w:rsid w:val="00B02202"/>
    <w:rsid w:val="00B02DEF"/>
    <w:rsid w:val="00B042A0"/>
    <w:rsid w:val="00B06B1D"/>
    <w:rsid w:val="00B141E3"/>
    <w:rsid w:val="00B2199B"/>
    <w:rsid w:val="00B2293E"/>
    <w:rsid w:val="00B24B04"/>
    <w:rsid w:val="00B25893"/>
    <w:rsid w:val="00B27C2E"/>
    <w:rsid w:val="00B31FF4"/>
    <w:rsid w:val="00B33DE2"/>
    <w:rsid w:val="00B33FB8"/>
    <w:rsid w:val="00B37301"/>
    <w:rsid w:val="00B37BD6"/>
    <w:rsid w:val="00B41FB4"/>
    <w:rsid w:val="00B45055"/>
    <w:rsid w:val="00B47D5F"/>
    <w:rsid w:val="00B51385"/>
    <w:rsid w:val="00B55E20"/>
    <w:rsid w:val="00B5648C"/>
    <w:rsid w:val="00B66891"/>
    <w:rsid w:val="00B66BBE"/>
    <w:rsid w:val="00B67005"/>
    <w:rsid w:val="00B710AC"/>
    <w:rsid w:val="00B80827"/>
    <w:rsid w:val="00B832FF"/>
    <w:rsid w:val="00B83C7E"/>
    <w:rsid w:val="00B84EF9"/>
    <w:rsid w:val="00B86B9A"/>
    <w:rsid w:val="00B87CA5"/>
    <w:rsid w:val="00B91E56"/>
    <w:rsid w:val="00B94A73"/>
    <w:rsid w:val="00BA0A53"/>
    <w:rsid w:val="00BA30FC"/>
    <w:rsid w:val="00BA6D16"/>
    <w:rsid w:val="00BB03FD"/>
    <w:rsid w:val="00BB048B"/>
    <w:rsid w:val="00BB4037"/>
    <w:rsid w:val="00BB57BF"/>
    <w:rsid w:val="00BB5CD7"/>
    <w:rsid w:val="00BB7151"/>
    <w:rsid w:val="00BC12AC"/>
    <w:rsid w:val="00BC1C0C"/>
    <w:rsid w:val="00BC5694"/>
    <w:rsid w:val="00BC611B"/>
    <w:rsid w:val="00BD050E"/>
    <w:rsid w:val="00BD4F2E"/>
    <w:rsid w:val="00BE0FB5"/>
    <w:rsid w:val="00BE3B67"/>
    <w:rsid w:val="00BE7AA7"/>
    <w:rsid w:val="00BF3791"/>
    <w:rsid w:val="00BF48DB"/>
    <w:rsid w:val="00BF5F0A"/>
    <w:rsid w:val="00BF6EAE"/>
    <w:rsid w:val="00BF79FC"/>
    <w:rsid w:val="00BF7BCB"/>
    <w:rsid w:val="00C0156F"/>
    <w:rsid w:val="00C01DC4"/>
    <w:rsid w:val="00C0309B"/>
    <w:rsid w:val="00C0484B"/>
    <w:rsid w:val="00C124EC"/>
    <w:rsid w:val="00C1277B"/>
    <w:rsid w:val="00C13F8C"/>
    <w:rsid w:val="00C14BAE"/>
    <w:rsid w:val="00C21429"/>
    <w:rsid w:val="00C21CA3"/>
    <w:rsid w:val="00C26F99"/>
    <w:rsid w:val="00C274F8"/>
    <w:rsid w:val="00C27610"/>
    <w:rsid w:val="00C30356"/>
    <w:rsid w:val="00C325D1"/>
    <w:rsid w:val="00C35237"/>
    <w:rsid w:val="00C37352"/>
    <w:rsid w:val="00C37E7F"/>
    <w:rsid w:val="00C438C6"/>
    <w:rsid w:val="00C45006"/>
    <w:rsid w:val="00C460BA"/>
    <w:rsid w:val="00C478A6"/>
    <w:rsid w:val="00C47990"/>
    <w:rsid w:val="00C55BE3"/>
    <w:rsid w:val="00C61048"/>
    <w:rsid w:val="00C6377A"/>
    <w:rsid w:val="00C6422B"/>
    <w:rsid w:val="00C7400C"/>
    <w:rsid w:val="00C75283"/>
    <w:rsid w:val="00C763B8"/>
    <w:rsid w:val="00C77A48"/>
    <w:rsid w:val="00C80A00"/>
    <w:rsid w:val="00C80AC8"/>
    <w:rsid w:val="00C80F52"/>
    <w:rsid w:val="00C81569"/>
    <w:rsid w:val="00C86287"/>
    <w:rsid w:val="00C94975"/>
    <w:rsid w:val="00C9541F"/>
    <w:rsid w:val="00CA0872"/>
    <w:rsid w:val="00CA0F34"/>
    <w:rsid w:val="00CA2C22"/>
    <w:rsid w:val="00CA34E1"/>
    <w:rsid w:val="00CA35BE"/>
    <w:rsid w:val="00CA588C"/>
    <w:rsid w:val="00CB0034"/>
    <w:rsid w:val="00CB0B31"/>
    <w:rsid w:val="00CB2129"/>
    <w:rsid w:val="00CB3127"/>
    <w:rsid w:val="00CB3233"/>
    <w:rsid w:val="00CB33D8"/>
    <w:rsid w:val="00CB756D"/>
    <w:rsid w:val="00CC01C8"/>
    <w:rsid w:val="00CC1243"/>
    <w:rsid w:val="00CC16A9"/>
    <w:rsid w:val="00CC2351"/>
    <w:rsid w:val="00CC2B84"/>
    <w:rsid w:val="00CC4769"/>
    <w:rsid w:val="00CC4C05"/>
    <w:rsid w:val="00CC5AD7"/>
    <w:rsid w:val="00CC7D4B"/>
    <w:rsid w:val="00CD210F"/>
    <w:rsid w:val="00CD2D74"/>
    <w:rsid w:val="00CD5CC3"/>
    <w:rsid w:val="00CE31C3"/>
    <w:rsid w:val="00CE5464"/>
    <w:rsid w:val="00CE6A7F"/>
    <w:rsid w:val="00CF0284"/>
    <w:rsid w:val="00CF14A4"/>
    <w:rsid w:val="00CF1547"/>
    <w:rsid w:val="00D0123D"/>
    <w:rsid w:val="00D03DBD"/>
    <w:rsid w:val="00D043E2"/>
    <w:rsid w:val="00D053DE"/>
    <w:rsid w:val="00D11443"/>
    <w:rsid w:val="00D12072"/>
    <w:rsid w:val="00D13A09"/>
    <w:rsid w:val="00D16F6B"/>
    <w:rsid w:val="00D172BA"/>
    <w:rsid w:val="00D202A8"/>
    <w:rsid w:val="00D24858"/>
    <w:rsid w:val="00D258BF"/>
    <w:rsid w:val="00D25985"/>
    <w:rsid w:val="00D25C22"/>
    <w:rsid w:val="00D26C2D"/>
    <w:rsid w:val="00D27203"/>
    <w:rsid w:val="00D3064F"/>
    <w:rsid w:val="00D32BDB"/>
    <w:rsid w:val="00D32D29"/>
    <w:rsid w:val="00D32FDC"/>
    <w:rsid w:val="00D3432F"/>
    <w:rsid w:val="00D358DF"/>
    <w:rsid w:val="00D37BB0"/>
    <w:rsid w:val="00D405E1"/>
    <w:rsid w:val="00D4086C"/>
    <w:rsid w:val="00D44696"/>
    <w:rsid w:val="00D459FA"/>
    <w:rsid w:val="00D53990"/>
    <w:rsid w:val="00D540B0"/>
    <w:rsid w:val="00D55828"/>
    <w:rsid w:val="00D5719E"/>
    <w:rsid w:val="00D57E7E"/>
    <w:rsid w:val="00D601E3"/>
    <w:rsid w:val="00D62431"/>
    <w:rsid w:val="00D624B6"/>
    <w:rsid w:val="00D6292B"/>
    <w:rsid w:val="00D637F1"/>
    <w:rsid w:val="00D7068B"/>
    <w:rsid w:val="00D71D93"/>
    <w:rsid w:val="00D7452F"/>
    <w:rsid w:val="00D75CD5"/>
    <w:rsid w:val="00D77661"/>
    <w:rsid w:val="00D77B7A"/>
    <w:rsid w:val="00D83D91"/>
    <w:rsid w:val="00D84E82"/>
    <w:rsid w:val="00D859F7"/>
    <w:rsid w:val="00D916D7"/>
    <w:rsid w:val="00D93765"/>
    <w:rsid w:val="00D9593E"/>
    <w:rsid w:val="00D97B4F"/>
    <w:rsid w:val="00D97C93"/>
    <w:rsid w:val="00DA0038"/>
    <w:rsid w:val="00DA2B26"/>
    <w:rsid w:val="00DB37AC"/>
    <w:rsid w:val="00DB3FAF"/>
    <w:rsid w:val="00DB5755"/>
    <w:rsid w:val="00DB7541"/>
    <w:rsid w:val="00DB7A7E"/>
    <w:rsid w:val="00DC1C23"/>
    <w:rsid w:val="00DC6762"/>
    <w:rsid w:val="00DC7C10"/>
    <w:rsid w:val="00DD2847"/>
    <w:rsid w:val="00DE0D47"/>
    <w:rsid w:val="00DE130E"/>
    <w:rsid w:val="00DF0794"/>
    <w:rsid w:val="00DF07C6"/>
    <w:rsid w:val="00E05226"/>
    <w:rsid w:val="00E07892"/>
    <w:rsid w:val="00E10D99"/>
    <w:rsid w:val="00E11259"/>
    <w:rsid w:val="00E157EA"/>
    <w:rsid w:val="00E23ACA"/>
    <w:rsid w:val="00E30D2A"/>
    <w:rsid w:val="00E33A5C"/>
    <w:rsid w:val="00E42569"/>
    <w:rsid w:val="00E50312"/>
    <w:rsid w:val="00E52733"/>
    <w:rsid w:val="00E53E22"/>
    <w:rsid w:val="00E54306"/>
    <w:rsid w:val="00E668D0"/>
    <w:rsid w:val="00E71972"/>
    <w:rsid w:val="00E71C84"/>
    <w:rsid w:val="00E72607"/>
    <w:rsid w:val="00E764D3"/>
    <w:rsid w:val="00E83D1D"/>
    <w:rsid w:val="00E91BB9"/>
    <w:rsid w:val="00E925E7"/>
    <w:rsid w:val="00E94879"/>
    <w:rsid w:val="00E969A0"/>
    <w:rsid w:val="00E96D1A"/>
    <w:rsid w:val="00EA4F89"/>
    <w:rsid w:val="00EA6352"/>
    <w:rsid w:val="00EA6FC6"/>
    <w:rsid w:val="00EA7CB0"/>
    <w:rsid w:val="00EB03D0"/>
    <w:rsid w:val="00EB1B40"/>
    <w:rsid w:val="00EB6A88"/>
    <w:rsid w:val="00EB7D9C"/>
    <w:rsid w:val="00EC3864"/>
    <w:rsid w:val="00EC7982"/>
    <w:rsid w:val="00ED0BF1"/>
    <w:rsid w:val="00ED1420"/>
    <w:rsid w:val="00ED5178"/>
    <w:rsid w:val="00EE0AA0"/>
    <w:rsid w:val="00EE140A"/>
    <w:rsid w:val="00EE6337"/>
    <w:rsid w:val="00EF26E1"/>
    <w:rsid w:val="00EF4735"/>
    <w:rsid w:val="00F00799"/>
    <w:rsid w:val="00F01399"/>
    <w:rsid w:val="00F05B5A"/>
    <w:rsid w:val="00F10BF4"/>
    <w:rsid w:val="00F1211E"/>
    <w:rsid w:val="00F14D8A"/>
    <w:rsid w:val="00F1733E"/>
    <w:rsid w:val="00F2325C"/>
    <w:rsid w:val="00F23324"/>
    <w:rsid w:val="00F2343D"/>
    <w:rsid w:val="00F254F0"/>
    <w:rsid w:val="00F31547"/>
    <w:rsid w:val="00F33973"/>
    <w:rsid w:val="00F33CC8"/>
    <w:rsid w:val="00F3472E"/>
    <w:rsid w:val="00F36FC6"/>
    <w:rsid w:val="00F409D1"/>
    <w:rsid w:val="00F473BD"/>
    <w:rsid w:val="00F5400A"/>
    <w:rsid w:val="00F54514"/>
    <w:rsid w:val="00F55294"/>
    <w:rsid w:val="00F554D0"/>
    <w:rsid w:val="00F610B3"/>
    <w:rsid w:val="00F62E71"/>
    <w:rsid w:val="00F644EA"/>
    <w:rsid w:val="00F67B46"/>
    <w:rsid w:val="00F67DE6"/>
    <w:rsid w:val="00F709B3"/>
    <w:rsid w:val="00F72C55"/>
    <w:rsid w:val="00F72E71"/>
    <w:rsid w:val="00F733F1"/>
    <w:rsid w:val="00F8313D"/>
    <w:rsid w:val="00F84431"/>
    <w:rsid w:val="00F84ED5"/>
    <w:rsid w:val="00F85489"/>
    <w:rsid w:val="00F86DE2"/>
    <w:rsid w:val="00F900C6"/>
    <w:rsid w:val="00F911C2"/>
    <w:rsid w:val="00F97907"/>
    <w:rsid w:val="00FA29E3"/>
    <w:rsid w:val="00FA2F90"/>
    <w:rsid w:val="00FA30BE"/>
    <w:rsid w:val="00FB072E"/>
    <w:rsid w:val="00FB3B17"/>
    <w:rsid w:val="00FB45FB"/>
    <w:rsid w:val="00FB548A"/>
    <w:rsid w:val="00FB55D8"/>
    <w:rsid w:val="00FC1E41"/>
    <w:rsid w:val="00FC51BE"/>
    <w:rsid w:val="00FD16BA"/>
    <w:rsid w:val="00FD3BC6"/>
    <w:rsid w:val="00FE0258"/>
    <w:rsid w:val="00FE1915"/>
    <w:rsid w:val="00FE4D5E"/>
    <w:rsid w:val="00FE53CA"/>
    <w:rsid w:val="00FE618C"/>
    <w:rsid w:val="00FF1C49"/>
    <w:rsid w:val="00FF20FE"/>
    <w:rsid w:val="00FF721E"/>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B1176E"/>
  <w15:chartTrackingRefBased/>
  <w15:docId w15:val="{91C2E3D9-5A9B-484A-9806-203B48A3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F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29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60B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4E82"/>
    <w:rPr>
      <w:sz w:val="20"/>
      <w:szCs w:val="20"/>
    </w:rPr>
  </w:style>
  <w:style w:type="character" w:customStyle="1" w:styleId="FootnoteTextChar">
    <w:name w:val="Footnote Text Char"/>
    <w:basedOn w:val="DefaultParagraphFont"/>
    <w:link w:val="FootnoteText"/>
    <w:uiPriority w:val="99"/>
    <w:rsid w:val="009D4E82"/>
    <w:rPr>
      <w:sz w:val="20"/>
      <w:szCs w:val="20"/>
    </w:rPr>
  </w:style>
  <w:style w:type="character" w:styleId="FootnoteReference">
    <w:name w:val="footnote reference"/>
    <w:basedOn w:val="DefaultParagraphFont"/>
    <w:uiPriority w:val="99"/>
    <w:semiHidden/>
    <w:unhideWhenUsed/>
    <w:rsid w:val="009D4E82"/>
    <w:rPr>
      <w:vertAlign w:val="superscript"/>
    </w:rPr>
  </w:style>
  <w:style w:type="table" w:styleId="TableGrid">
    <w:name w:val="Table Grid"/>
    <w:basedOn w:val="TableNormal"/>
    <w:uiPriority w:val="39"/>
    <w:rsid w:val="0008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291"/>
    <w:rPr>
      <w:color w:val="0563C1" w:themeColor="hyperlink"/>
      <w:u w:val="single"/>
    </w:rPr>
  </w:style>
  <w:style w:type="paragraph" w:styleId="Header">
    <w:name w:val="header"/>
    <w:basedOn w:val="Normal"/>
    <w:link w:val="HeaderChar"/>
    <w:uiPriority w:val="99"/>
    <w:unhideWhenUsed/>
    <w:rsid w:val="004707C2"/>
    <w:pPr>
      <w:tabs>
        <w:tab w:val="center" w:pos="4680"/>
        <w:tab w:val="right" w:pos="9360"/>
      </w:tabs>
    </w:pPr>
  </w:style>
  <w:style w:type="character" w:customStyle="1" w:styleId="HeaderChar">
    <w:name w:val="Header Char"/>
    <w:basedOn w:val="DefaultParagraphFont"/>
    <w:link w:val="Header"/>
    <w:uiPriority w:val="99"/>
    <w:rsid w:val="004707C2"/>
  </w:style>
  <w:style w:type="paragraph" w:styleId="Footer">
    <w:name w:val="footer"/>
    <w:basedOn w:val="Normal"/>
    <w:link w:val="FooterChar"/>
    <w:uiPriority w:val="99"/>
    <w:unhideWhenUsed/>
    <w:rsid w:val="004707C2"/>
    <w:pPr>
      <w:tabs>
        <w:tab w:val="center" w:pos="4680"/>
        <w:tab w:val="right" w:pos="9360"/>
      </w:tabs>
    </w:pPr>
  </w:style>
  <w:style w:type="character" w:customStyle="1" w:styleId="FooterChar">
    <w:name w:val="Footer Char"/>
    <w:basedOn w:val="DefaultParagraphFont"/>
    <w:link w:val="Footer"/>
    <w:uiPriority w:val="99"/>
    <w:rsid w:val="004707C2"/>
  </w:style>
  <w:style w:type="paragraph" w:styleId="BalloonText">
    <w:name w:val="Balloon Text"/>
    <w:basedOn w:val="Normal"/>
    <w:link w:val="BalloonTextChar"/>
    <w:uiPriority w:val="99"/>
    <w:semiHidden/>
    <w:unhideWhenUsed/>
    <w:rsid w:val="004F5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1A"/>
    <w:rPr>
      <w:rFonts w:ascii="Segoe UI" w:hAnsi="Segoe UI" w:cs="Segoe UI"/>
      <w:sz w:val="18"/>
      <w:szCs w:val="18"/>
    </w:rPr>
  </w:style>
  <w:style w:type="character" w:customStyle="1" w:styleId="Heading2Char">
    <w:name w:val="Heading 2 Char"/>
    <w:basedOn w:val="DefaultParagraphFont"/>
    <w:link w:val="Heading2"/>
    <w:uiPriority w:val="9"/>
    <w:semiHidden/>
    <w:rsid w:val="000729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960BC"/>
    <w:rPr>
      <w:rFonts w:asciiTheme="majorHAnsi" w:eastAsiaTheme="majorEastAsia" w:hAnsiTheme="majorHAnsi" w:cstheme="majorBidi"/>
      <w:color w:val="1F4D78" w:themeColor="accent1" w:themeShade="7F"/>
      <w:sz w:val="24"/>
      <w:szCs w:val="24"/>
    </w:rPr>
  </w:style>
  <w:style w:type="character" w:customStyle="1" w:styleId="ref-journal">
    <w:name w:val="ref-journal"/>
    <w:basedOn w:val="DefaultParagraphFont"/>
    <w:rsid w:val="00145CC8"/>
  </w:style>
  <w:style w:type="character" w:customStyle="1" w:styleId="ref-vol">
    <w:name w:val="ref-vol"/>
    <w:basedOn w:val="DefaultParagraphFont"/>
    <w:rsid w:val="00145CC8"/>
  </w:style>
  <w:style w:type="paragraph" w:styleId="ListParagraph">
    <w:name w:val="List Paragraph"/>
    <w:basedOn w:val="Normal"/>
    <w:uiPriority w:val="34"/>
    <w:qFormat/>
    <w:rsid w:val="00237BC0"/>
    <w:pPr>
      <w:ind w:left="720"/>
      <w:contextualSpacing/>
    </w:pPr>
  </w:style>
  <w:style w:type="character" w:customStyle="1" w:styleId="UnresolvedMention1">
    <w:name w:val="Unresolved Mention1"/>
    <w:basedOn w:val="DefaultParagraphFont"/>
    <w:uiPriority w:val="99"/>
    <w:semiHidden/>
    <w:unhideWhenUsed/>
    <w:rsid w:val="009729A5"/>
    <w:rPr>
      <w:color w:val="605E5C"/>
      <w:shd w:val="clear" w:color="auto" w:fill="E1DFDD"/>
    </w:rPr>
  </w:style>
  <w:style w:type="character" w:styleId="CommentReference">
    <w:name w:val="annotation reference"/>
    <w:basedOn w:val="DefaultParagraphFont"/>
    <w:uiPriority w:val="99"/>
    <w:semiHidden/>
    <w:unhideWhenUsed/>
    <w:rsid w:val="00FA29E3"/>
    <w:rPr>
      <w:sz w:val="16"/>
      <w:szCs w:val="16"/>
    </w:rPr>
  </w:style>
  <w:style w:type="paragraph" w:styleId="CommentText">
    <w:name w:val="annotation text"/>
    <w:basedOn w:val="Normal"/>
    <w:link w:val="CommentTextChar"/>
    <w:uiPriority w:val="99"/>
    <w:semiHidden/>
    <w:unhideWhenUsed/>
    <w:rsid w:val="00FA29E3"/>
    <w:rPr>
      <w:sz w:val="20"/>
      <w:szCs w:val="20"/>
    </w:rPr>
  </w:style>
  <w:style w:type="character" w:customStyle="1" w:styleId="CommentTextChar">
    <w:name w:val="Comment Text Char"/>
    <w:basedOn w:val="DefaultParagraphFont"/>
    <w:link w:val="CommentText"/>
    <w:uiPriority w:val="99"/>
    <w:semiHidden/>
    <w:rsid w:val="00FA29E3"/>
    <w:rPr>
      <w:sz w:val="20"/>
      <w:szCs w:val="20"/>
    </w:rPr>
  </w:style>
  <w:style w:type="paragraph" w:styleId="CommentSubject">
    <w:name w:val="annotation subject"/>
    <w:basedOn w:val="CommentText"/>
    <w:next w:val="CommentText"/>
    <w:link w:val="CommentSubjectChar"/>
    <w:uiPriority w:val="99"/>
    <w:semiHidden/>
    <w:unhideWhenUsed/>
    <w:rsid w:val="00FA29E3"/>
    <w:rPr>
      <w:b/>
      <w:bCs/>
    </w:rPr>
  </w:style>
  <w:style w:type="character" w:customStyle="1" w:styleId="CommentSubjectChar">
    <w:name w:val="Comment Subject Char"/>
    <w:basedOn w:val="CommentTextChar"/>
    <w:link w:val="CommentSubject"/>
    <w:uiPriority w:val="99"/>
    <w:semiHidden/>
    <w:rsid w:val="00FA29E3"/>
    <w:rPr>
      <w:b/>
      <w:bCs/>
      <w:sz w:val="20"/>
      <w:szCs w:val="20"/>
    </w:rPr>
  </w:style>
  <w:style w:type="character" w:customStyle="1" w:styleId="Heading1Char">
    <w:name w:val="Heading 1 Char"/>
    <w:basedOn w:val="DefaultParagraphFont"/>
    <w:link w:val="Heading1"/>
    <w:uiPriority w:val="9"/>
    <w:rsid w:val="00D16F6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9765BA"/>
  </w:style>
  <w:style w:type="character" w:customStyle="1" w:styleId="UnresolvedMention2">
    <w:name w:val="Unresolved Mention2"/>
    <w:basedOn w:val="DefaultParagraphFont"/>
    <w:uiPriority w:val="99"/>
    <w:semiHidden/>
    <w:unhideWhenUsed/>
    <w:rsid w:val="00C0309B"/>
    <w:rPr>
      <w:color w:val="605E5C"/>
      <w:shd w:val="clear" w:color="auto" w:fill="E1DFDD"/>
    </w:rPr>
  </w:style>
  <w:style w:type="character" w:styleId="FollowedHyperlink">
    <w:name w:val="FollowedHyperlink"/>
    <w:basedOn w:val="DefaultParagraphFont"/>
    <w:uiPriority w:val="99"/>
    <w:semiHidden/>
    <w:unhideWhenUsed/>
    <w:rsid w:val="00D03DBD"/>
    <w:rPr>
      <w:color w:val="954F72" w:themeColor="followedHyperlink"/>
      <w:u w:val="single"/>
    </w:rPr>
  </w:style>
  <w:style w:type="character" w:styleId="UnresolvedMention">
    <w:name w:val="Unresolved Mention"/>
    <w:basedOn w:val="DefaultParagraphFont"/>
    <w:uiPriority w:val="99"/>
    <w:semiHidden/>
    <w:unhideWhenUsed/>
    <w:rsid w:val="00B25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0859">
      <w:bodyDiv w:val="1"/>
      <w:marLeft w:val="0"/>
      <w:marRight w:val="0"/>
      <w:marTop w:val="0"/>
      <w:marBottom w:val="0"/>
      <w:divBdr>
        <w:top w:val="none" w:sz="0" w:space="0" w:color="auto"/>
        <w:left w:val="none" w:sz="0" w:space="0" w:color="auto"/>
        <w:bottom w:val="none" w:sz="0" w:space="0" w:color="auto"/>
        <w:right w:val="none" w:sz="0" w:space="0" w:color="auto"/>
      </w:divBdr>
    </w:div>
    <w:div w:id="90324192">
      <w:bodyDiv w:val="1"/>
      <w:marLeft w:val="0"/>
      <w:marRight w:val="0"/>
      <w:marTop w:val="0"/>
      <w:marBottom w:val="0"/>
      <w:divBdr>
        <w:top w:val="none" w:sz="0" w:space="0" w:color="auto"/>
        <w:left w:val="none" w:sz="0" w:space="0" w:color="auto"/>
        <w:bottom w:val="none" w:sz="0" w:space="0" w:color="auto"/>
        <w:right w:val="none" w:sz="0" w:space="0" w:color="auto"/>
      </w:divBdr>
    </w:div>
    <w:div w:id="133525816">
      <w:bodyDiv w:val="1"/>
      <w:marLeft w:val="0"/>
      <w:marRight w:val="0"/>
      <w:marTop w:val="0"/>
      <w:marBottom w:val="0"/>
      <w:divBdr>
        <w:top w:val="none" w:sz="0" w:space="0" w:color="auto"/>
        <w:left w:val="none" w:sz="0" w:space="0" w:color="auto"/>
        <w:bottom w:val="none" w:sz="0" w:space="0" w:color="auto"/>
        <w:right w:val="none" w:sz="0" w:space="0" w:color="auto"/>
      </w:divBdr>
    </w:div>
    <w:div w:id="195851863">
      <w:bodyDiv w:val="1"/>
      <w:marLeft w:val="0"/>
      <w:marRight w:val="0"/>
      <w:marTop w:val="0"/>
      <w:marBottom w:val="0"/>
      <w:divBdr>
        <w:top w:val="none" w:sz="0" w:space="0" w:color="auto"/>
        <w:left w:val="none" w:sz="0" w:space="0" w:color="auto"/>
        <w:bottom w:val="none" w:sz="0" w:space="0" w:color="auto"/>
        <w:right w:val="none" w:sz="0" w:space="0" w:color="auto"/>
      </w:divBdr>
    </w:div>
    <w:div w:id="450515999">
      <w:bodyDiv w:val="1"/>
      <w:marLeft w:val="0"/>
      <w:marRight w:val="0"/>
      <w:marTop w:val="0"/>
      <w:marBottom w:val="0"/>
      <w:divBdr>
        <w:top w:val="none" w:sz="0" w:space="0" w:color="auto"/>
        <w:left w:val="none" w:sz="0" w:space="0" w:color="auto"/>
        <w:bottom w:val="none" w:sz="0" w:space="0" w:color="auto"/>
        <w:right w:val="none" w:sz="0" w:space="0" w:color="auto"/>
      </w:divBdr>
    </w:div>
    <w:div w:id="743144150">
      <w:bodyDiv w:val="1"/>
      <w:marLeft w:val="0"/>
      <w:marRight w:val="0"/>
      <w:marTop w:val="0"/>
      <w:marBottom w:val="0"/>
      <w:divBdr>
        <w:top w:val="none" w:sz="0" w:space="0" w:color="auto"/>
        <w:left w:val="none" w:sz="0" w:space="0" w:color="auto"/>
        <w:bottom w:val="none" w:sz="0" w:space="0" w:color="auto"/>
        <w:right w:val="none" w:sz="0" w:space="0" w:color="auto"/>
      </w:divBdr>
    </w:div>
    <w:div w:id="978418205">
      <w:bodyDiv w:val="1"/>
      <w:marLeft w:val="0"/>
      <w:marRight w:val="0"/>
      <w:marTop w:val="0"/>
      <w:marBottom w:val="0"/>
      <w:divBdr>
        <w:top w:val="none" w:sz="0" w:space="0" w:color="auto"/>
        <w:left w:val="none" w:sz="0" w:space="0" w:color="auto"/>
        <w:bottom w:val="none" w:sz="0" w:space="0" w:color="auto"/>
        <w:right w:val="none" w:sz="0" w:space="0" w:color="auto"/>
      </w:divBdr>
    </w:div>
    <w:div w:id="999038066">
      <w:bodyDiv w:val="1"/>
      <w:marLeft w:val="0"/>
      <w:marRight w:val="0"/>
      <w:marTop w:val="0"/>
      <w:marBottom w:val="0"/>
      <w:divBdr>
        <w:top w:val="none" w:sz="0" w:space="0" w:color="auto"/>
        <w:left w:val="none" w:sz="0" w:space="0" w:color="auto"/>
        <w:bottom w:val="none" w:sz="0" w:space="0" w:color="auto"/>
        <w:right w:val="none" w:sz="0" w:space="0" w:color="auto"/>
      </w:divBdr>
    </w:div>
    <w:div w:id="1077633210">
      <w:bodyDiv w:val="1"/>
      <w:marLeft w:val="0"/>
      <w:marRight w:val="0"/>
      <w:marTop w:val="0"/>
      <w:marBottom w:val="0"/>
      <w:divBdr>
        <w:top w:val="none" w:sz="0" w:space="0" w:color="auto"/>
        <w:left w:val="none" w:sz="0" w:space="0" w:color="auto"/>
        <w:bottom w:val="none" w:sz="0" w:space="0" w:color="auto"/>
        <w:right w:val="none" w:sz="0" w:space="0" w:color="auto"/>
      </w:divBdr>
    </w:div>
    <w:div w:id="1628193751">
      <w:bodyDiv w:val="1"/>
      <w:marLeft w:val="0"/>
      <w:marRight w:val="0"/>
      <w:marTop w:val="0"/>
      <w:marBottom w:val="0"/>
      <w:divBdr>
        <w:top w:val="none" w:sz="0" w:space="0" w:color="auto"/>
        <w:left w:val="none" w:sz="0" w:space="0" w:color="auto"/>
        <w:bottom w:val="none" w:sz="0" w:space="0" w:color="auto"/>
        <w:right w:val="none" w:sz="0" w:space="0" w:color="auto"/>
      </w:divBdr>
    </w:div>
    <w:div w:id="1833911595">
      <w:bodyDiv w:val="1"/>
      <w:marLeft w:val="0"/>
      <w:marRight w:val="0"/>
      <w:marTop w:val="0"/>
      <w:marBottom w:val="0"/>
      <w:divBdr>
        <w:top w:val="none" w:sz="0" w:space="0" w:color="auto"/>
        <w:left w:val="none" w:sz="0" w:space="0" w:color="auto"/>
        <w:bottom w:val="none" w:sz="0" w:space="0" w:color="auto"/>
        <w:right w:val="none" w:sz="0" w:space="0" w:color="auto"/>
      </w:divBdr>
    </w:div>
    <w:div w:id="20167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ird@ucon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breakingmuscle.com/fitness/what-processed-food-is-doing-to-kids-and-how-we-can-change-it" TargetMode="External"/><Relationship Id="rId1" Type="http://schemas.openxmlformats.org/officeDocument/2006/relationships/hyperlink" Target="https://naturallysavvy.com/nest/is-high-fructose-corn-syrup-connected-to-au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4F82-088E-4774-BF41-52100B5B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11956</Words>
  <Characters>68151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Bird, Robert</cp:lastModifiedBy>
  <cp:revision>14</cp:revision>
  <cp:lastPrinted>2018-06-12T12:57:00Z</cp:lastPrinted>
  <dcterms:created xsi:type="dcterms:W3CDTF">2019-03-29T22:48:00Z</dcterms:created>
  <dcterms:modified xsi:type="dcterms:W3CDTF">2019-03-29T23:25:00Z</dcterms:modified>
</cp:coreProperties>
</file>