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3F126" w14:textId="77777777" w:rsidR="0086343B" w:rsidRPr="0097784F" w:rsidRDefault="0086343B" w:rsidP="0086343B">
      <w:pPr>
        <w:pStyle w:val="Title"/>
        <w:tabs>
          <w:tab w:val="left" w:pos="360"/>
        </w:tabs>
        <w:spacing w:before="0" w:line="240" w:lineRule="auto"/>
        <w:rPr>
          <w:rFonts w:ascii="Garamond" w:hAnsi="Garamond"/>
          <w:sz w:val="24"/>
          <w:szCs w:val="24"/>
        </w:rPr>
      </w:pPr>
      <w:bookmarkStart w:id="0" w:name="_Hlk1768364"/>
      <w:r w:rsidRPr="0097784F">
        <w:rPr>
          <w:rFonts w:ascii="Garamond" w:hAnsi="Garamond"/>
          <w:sz w:val="24"/>
          <w:szCs w:val="24"/>
        </w:rPr>
        <w:t>Punctuated Coalitions: A Theory of Legislation</w:t>
      </w:r>
    </w:p>
    <w:p w14:paraId="73F70F5A" w14:textId="77123E2F" w:rsidR="0086343B" w:rsidRPr="0097784F" w:rsidRDefault="0086343B" w:rsidP="0086343B">
      <w:pPr>
        <w:pStyle w:val="Author"/>
        <w:tabs>
          <w:tab w:val="left" w:pos="360"/>
        </w:tabs>
        <w:spacing w:line="240" w:lineRule="auto"/>
        <w:rPr>
          <w:rFonts w:ascii="Garamond" w:hAnsi="Garamond"/>
          <w:szCs w:val="24"/>
        </w:rPr>
      </w:pPr>
      <w:r w:rsidRPr="0097784F">
        <w:rPr>
          <w:rFonts w:ascii="Garamond" w:hAnsi="Garamond"/>
          <w:szCs w:val="24"/>
        </w:rPr>
        <w:t>Peter Conti-Brown, Michael Ohlrogge &amp; Sean Vanatta</w:t>
      </w:r>
      <w:r w:rsidR="005B541B">
        <w:rPr>
          <w:rStyle w:val="FootnoteReference"/>
          <w:szCs w:val="24"/>
        </w:rPr>
        <w:footnoteReference w:customMarkFollows="1" w:id="1"/>
        <w:t>*</w:t>
      </w:r>
    </w:p>
    <w:p w14:paraId="6814D3A6" w14:textId="77777777" w:rsidR="0086343B" w:rsidRPr="0097784F" w:rsidRDefault="0086343B" w:rsidP="0086343B">
      <w:pPr>
        <w:pStyle w:val="Spacer"/>
        <w:tabs>
          <w:tab w:val="left" w:pos="360"/>
        </w:tabs>
        <w:spacing w:line="240" w:lineRule="auto"/>
        <w:rPr>
          <w:szCs w:val="24"/>
        </w:rPr>
      </w:pPr>
    </w:p>
    <w:p w14:paraId="02086D23" w14:textId="77777777" w:rsidR="0086343B" w:rsidRPr="0097784F" w:rsidRDefault="0086343B" w:rsidP="0086343B">
      <w:pPr>
        <w:pStyle w:val="Spacer"/>
        <w:tabs>
          <w:tab w:val="left" w:pos="360"/>
        </w:tabs>
        <w:spacing w:line="240" w:lineRule="auto"/>
        <w:rPr>
          <w:szCs w:val="24"/>
        </w:rPr>
      </w:pPr>
    </w:p>
    <w:p w14:paraId="6F281A6F" w14:textId="77777777" w:rsidR="00E77213" w:rsidRDefault="00E77213">
      <w:pPr>
        <w:spacing w:line="240" w:lineRule="auto"/>
        <w:jc w:val="left"/>
        <w:rPr>
          <w:b/>
          <w:iCs/>
          <w:smallCaps/>
          <w:szCs w:val="24"/>
        </w:rPr>
      </w:pPr>
      <w:r>
        <w:rPr>
          <w:b/>
          <w:smallCaps/>
          <w:szCs w:val="24"/>
        </w:rPr>
        <w:br w:type="page"/>
      </w:r>
    </w:p>
    <w:p w14:paraId="3DBE526F" w14:textId="2C777861" w:rsidR="0086343B" w:rsidRPr="00C33830" w:rsidRDefault="0086343B" w:rsidP="00C33830">
      <w:pPr>
        <w:pStyle w:val="Abstract"/>
        <w:tabs>
          <w:tab w:val="left" w:pos="360"/>
        </w:tabs>
        <w:spacing w:line="240" w:lineRule="auto"/>
        <w:ind w:firstLine="0"/>
        <w:rPr>
          <w:rFonts w:ascii="Garamond" w:hAnsi="Garamond"/>
          <w:sz w:val="24"/>
          <w:szCs w:val="24"/>
        </w:rPr>
      </w:pPr>
      <w:r w:rsidRPr="0097784F">
        <w:rPr>
          <w:rFonts w:ascii="Garamond" w:hAnsi="Garamond"/>
          <w:b/>
          <w:smallCaps/>
          <w:sz w:val="24"/>
          <w:szCs w:val="24"/>
        </w:rPr>
        <w:lastRenderedPageBreak/>
        <w:t>abstract—</w:t>
      </w:r>
      <w:r w:rsidRPr="0097784F">
        <w:rPr>
          <w:rFonts w:ascii="Garamond" w:hAnsi="Garamond"/>
          <w:sz w:val="24"/>
          <w:szCs w:val="24"/>
        </w:rPr>
        <w:t xml:space="preserve">What prompts Congress to act? Theories abound about party politics, (over)reaction to crisis, enduring coalitions, and the “strange bedfellows” of electoral politics. This Article builds on </w:t>
      </w:r>
      <w:r w:rsidR="00436BBA">
        <w:rPr>
          <w:rFonts w:ascii="Garamond" w:hAnsi="Garamond"/>
          <w:sz w:val="24"/>
          <w:szCs w:val="24"/>
        </w:rPr>
        <w:t xml:space="preserve">and departs from </w:t>
      </w:r>
      <w:r w:rsidRPr="0097784F">
        <w:rPr>
          <w:rFonts w:ascii="Garamond" w:hAnsi="Garamond"/>
          <w:sz w:val="24"/>
          <w:szCs w:val="24"/>
        </w:rPr>
        <w:t>these preexisting theories to argue that the legislative process—beginning, middle, and end—is in an important sense random, that coalitions that develop to advocate for specific legislative outcomes are temporary, and that a primary driver of legislation is large and small exogenous shocks</w:t>
      </w:r>
      <w:r w:rsidR="00436BBA">
        <w:rPr>
          <w:rFonts w:ascii="Garamond" w:hAnsi="Garamond"/>
          <w:sz w:val="24"/>
          <w:szCs w:val="24"/>
        </w:rPr>
        <w:t xml:space="preserve"> of a large variety</w:t>
      </w:r>
      <w:r w:rsidRPr="0097784F">
        <w:rPr>
          <w:rFonts w:ascii="Garamond" w:hAnsi="Garamond"/>
          <w:sz w:val="24"/>
          <w:szCs w:val="24"/>
        </w:rPr>
        <w:t xml:space="preserve">. These “punctuated coalitions”—a neologism we draw from evolutionary theory—require an external event, such as a scandal, a crisis, an election, or </w:t>
      </w:r>
      <w:r w:rsidR="00436BBA">
        <w:rPr>
          <w:rFonts w:ascii="Garamond" w:hAnsi="Garamond"/>
          <w:sz w:val="24"/>
          <w:szCs w:val="24"/>
        </w:rPr>
        <w:t>the variability of personnel</w:t>
      </w:r>
      <w:r w:rsidRPr="0097784F">
        <w:rPr>
          <w:rFonts w:ascii="Garamond" w:hAnsi="Garamond"/>
          <w:sz w:val="24"/>
          <w:szCs w:val="24"/>
        </w:rPr>
        <w:t>. But when these events occur, temporary coalitions and anti-coalitions coalesce around policy entrepreneurs to push for legislative outcomes that draw on preexisting intellectual currents, but also strongly reshape them. To demonstrate this theory, this Article surveys the sweep of financial legislation in the long 20</w:t>
      </w:r>
      <w:r w:rsidRPr="0097784F">
        <w:rPr>
          <w:rFonts w:ascii="Garamond" w:hAnsi="Garamond"/>
          <w:sz w:val="24"/>
          <w:szCs w:val="24"/>
          <w:vertAlign w:val="superscript"/>
        </w:rPr>
        <w:t>th</w:t>
      </w:r>
      <w:r w:rsidRPr="0097784F">
        <w:rPr>
          <w:rFonts w:ascii="Garamond" w:hAnsi="Garamond"/>
          <w:sz w:val="24"/>
          <w:szCs w:val="24"/>
        </w:rPr>
        <w:t xml:space="preserve"> century, beginning with the Federal Reserve Act of 1913 and ending with Dodd-Frank Act of 2010. The Article argues that the study of legislation must in fact be the study of the intersection of intellectual and political history. By analyzing financial legislation through the prism of punctuated coalitions, we see not the logic of a grand design, but organized reactions to randomness. The theory also tells us much about current debates about the institutional design of administrative agencies</w:t>
      </w:r>
      <w:r w:rsidR="00C33830">
        <w:rPr>
          <w:rFonts w:ascii="Garamond" w:hAnsi="Garamond"/>
          <w:sz w:val="24"/>
          <w:szCs w:val="24"/>
        </w:rPr>
        <w:t xml:space="preserve">, </w:t>
      </w:r>
      <w:r w:rsidRPr="0097784F">
        <w:rPr>
          <w:rFonts w:ascii="Garamond" w:hAnsi="Garamond"/>
          <w:sz w:val="24"/>
          <w:szCs w:val="24"/>
        </w:rPr>
        <w:t>the stickiness of legislative priorities</w:t>
      </w:r>
      <w:r w:rsidR="00C33830">
        <w:rPr>
          <w:rFonts w:ascii="Garamond" w:hAnsi="Garamond"/>
          <w:sz w:val="24"/>
          <w:szCs w:val="24"/>
        </w:rPr>
        <w:t>, and the intellectual incoherence of many legislative reform proposals</w:t>
      </w:r>
      <w:r w:rsidRPr="0097784F">
        <w:rPr>
          <w:rFonts w:ascii="Garamond" w:hAnsi="Garamond"/>
          <w:sz w:val="24"/>
          <w:szCs w:val="24"/>
        </w:rPr>
        <w:t xml:space="preserve">. The theory also informs a more accurate view of legislative reform generally. Rather than awaiting a major crisis, financial reformers of all stripes should prepare their ideas for the exogenous shock, preferably with an institutional ally within the administrative state. </w:t>
      </w:r>
    </w:p>
    <w:p w14:paraId="496D40C5" w14:textId="5C0DB4E3" w:rsidR="0086343B" w:rsidRPr="0097784F" w:rsidRDefault="0086343B" w:rsidP="0086343B">
      <w:pPr>
        <w:pStyle w:val="BodyText"/>
        <w:tabs>
          <w:tab w:val="left" w:pos="360"/>
        </w:tabs>
        <w:spacing w:line="240" w:lineRule="auto"/>
        <w:rPr>
          <w:rFonts w:ascii="Garamond" w:hAnsi="Garamond"/>
          <w:szCs w:val="24"/>
        </w:rPr>
      </w:pPr>
    </w:p>
    <w:p w14:paraId="7F5A943D" w14:textId="1D02E873" w:rsidR="0086343B" w:rsidRPr="0097784F" w:rsidRDefault="0086343B" w:rsidP="0086343B">
      <w:pPr>
        <w:pStyle w:val="Abstract"/>
        <w:tabs>
          <w:tab w:val="left" w:pos="360"/>
        </w:tabs>
        <w:spacing w:line="240" w:lineRule="auto"/>
        <w:ind w:firstLine="0"/>
        <w:rPr>
          <w:rFonts w:ascii="Garamond" w:hAnsi="Garamond"/>
          <w:sz w:val="24"/>
          <w:szCs w:val="24"/>
        </w:rPr>
      </w:pPr>
      <w:r w:rsidRPr="0097784F">
        <w:rPr>
          <w:rFonts w:ascii="Garamond" w:hAnsi="Garamond"/>
          <w:sz w:val="24"/>
          <w:szCs w:val="24"/>
        </w:rPr>
        <w:br w:type="page"/>
      </w:r>
    </w:p>
    <w:p w14:paraId="50F5DDB9" w14:textId="77777777" w:rsidR="0086343B" w:rsidRPr="0097784F" w:rsidRDefault="0086343B" w:rsidP="0086343B">
      <w:pPr>
        <w:pStyle w:val="Introduction-Conclusion"/>
        <w:tabs>
          <w:tab w:val="left" w:pos="2040"/>
          <w:tab w:val="center" w:pos="3362"/>
        </w:tabs>
        <w:spacing w:line="240" w:lineRule="auto"/>
        <w:rPr>
          <w:szCs w:val="24"/>
        </w:rPr>
      </w:pPr>
      <w:bookmarkStart w:id="1" w:name="_Toc535942124"/>
      <w:r w:rsidRPr="0097784F">
        <w:rPr>
          <w:szCs w:val="24"/>
        </w:rPr>
        <w:lastRenderedPageBreak/>
        <w:t>introduction</w:t>
      </w:r>
      <w:bookmarkEnd w:id="1"/>
    </w:p>
    <w:p w14:paraId="0347DBE6" w14:textId="77777777" w:rsidR="0086343B" w:rsidRPr="0097784F" w:rsidRDefault="0086343B" w:rsidP="0086343B">
      <w:pPr>
        <w:tabs>
          <w:tab w:val="left" w:pos="360"/>
        </w:tabs>
        <w:spacing w:line="240" w:lineRule="auto"/>
        <w:ind w:firstLine="360"/>
        <w:rPr>
          <w:rFonts w:eastAsia="Arial"/>
          <w:szCs w:val="24"/>
        </w:rPr>
      </w:pPr>
      <w:r w:rsidRPr="0097784F">
        <w:rPr>
          <w:rFonts w:eastAsia="Arial"/>
          <w:szCs w:val="24"/>
        </w:rPr>
        <w:t>What prompts Congress to legislate? When party politics coincide with geographic priorities or in response to special interests without countervailing opponents, an explanation based on electoral incentives can provide the complete answer.</w:t>
      </w:r>
      <w:r w:rsidRPr="0097784F">
        <w:rPr>
          <w:rStyle w:val="FootnoteReference"/>
          <w:rFonts w:ascii="Garamond" w:eastAsia="Arial" w:hAnsi="Garamond"/>
          <w:szCs w:val="24"/>
        </w:rPr>
        <w:footnoteReference w:id="2"/>
      </w:r>
      <w:r w:rsidRPr="0097784F">
        <w:rPr>
          <w:rFonts w:eastAsia="Arial"/>
          <w:szCs w:val="24"/>
        </w:rPr>
        <w:t xml:space="preserve"> The harder question arises when legislation reaches across interest groups and geographic divides. Changes to systems, in other words, not just changes to programs. </w:t>
      </w:r>
    </w:p>
    <w:p w14:paraId="76CBCA49" w14:textId="77777777" w:rsidR="0086343B" w:rsidRPr="0097784F" w:rsidRDefault="0086343B" w:rsidP="0086343B">
      <w:pPr>
        <w:tabs>
          <w:tab w:val="left" w:pos="360"/>
        </w:tabs>
        <w:spacing w:line="240" w:lineRule="auto"/>
        <w:ind w:firstLine="360"/>
        <w:rPr>
          <w:rFonts w:eastAsia="Arial"/>
          <w:szCs w:val="24"/>
        </w:rPr>
      </w:pPr>
      <w:r w:rsidRPr="0097784F">
        <w:rPr>
          <w:rFonts w:eastAsia="Arial"/>
          <w:szCs w:val="24"/>
        </w:rPr>
        <w:t>Despite a variety of sophisticated efforts from diverse disciplines, ranging from economics, political science, history, and law, we lack a good theory of the architecture of congressional action. Some theories point to the enduring coalitions of strange political bedfellows—libertarians and evangelical Christians in favor of the deregulation of education,</w:t>
      </w:r>
      <w:r w:rsidRPr="0097784F">
        <w:rPr>
          <w:rStyle w:val="FootnoteReference"/>
          <w:rFonts w:ascii="Garamond" w:eastAsia="Arial" w:hAnsi="Garamond"/>
          <w:szCs w:val="24"/>
        </w:rPr>
        <w:footnoteReference w:id="3"/>
      </w:r>
      <w:r w:rsidRPr="0097784F">
        <w:rPr>
          <w:rFonts w:eastAsia="Arial"/>
          <w:szCs w:val="24"/>
        </w:rPr>
        <w:t xml:space="preserve"> civil rights activists and large banks in favor of barriers to entry for financial entrepreneurs.</w:t>
      </w:r>
      <w:r w:rsidRPr="0097784F">
        <w:rPr>
          <w:rStyle w:val="FootnoteReference"/>
          <w:rFonts w:ascii="Garamond" w:eastAsia="Arial" w:hAnsi="Garamond"/>
          <w:szCs w:val="24"/>
        </w:rPr>
        <w:footnoteReference w:id="4"/>
      </w:r>
      <w:r w:rsidRPr="0097784F">
        <w:rPr>
          <w:rFonts w:eastAsia="Arial"/>
          <w:szCs w:val="24"/>
        </w:rPr>
        <w:t xml:space="preserve"> Others have argued that major legislation is invariably driven by a panicked overreaction to crisis.</w:t>
      </w:r>
      <w:r w:rsidRPr="0097784F">
        <w:rPr>
          <w:rStyle w:val="FootnoteReference"/>
          <w:rFonts w:ascii="Garamond" w:eastAsia="Arial" w:hAnsi="Garamond"/>
          <w:szCs w:val="24"/>
        </w:rPr>
        <w:footnoteReference w:id="5"/>
      </w:r>
      <w:r w:rsidRPr="0097784F">
        <w:rPr>
          <w:rFonts w:eastAsia="Arial"/>
          <w:szCs w:val="24"/>
        </w:rPr>
        <w:t xml:space="preserve"> The panic of 1907 leads to the passage of the Federal Reserve Act of 1913;</w:t>
      </w:r>
      <w:r w:rsidRPr="0097784F">
        <w:rPr>
          <w:rStyle w:val="FootnoteReference"/>
          <w:rFonts w:ascii="Garamond" w:eastAsia="Arial" w:hAnsi="Garamond"/>
          <w:szCs w:val="24"/>
        </w:rPr>
        <w:footnoteReference w:id="6"/>
      </w:r>
      <w:r w:rsidRPr="0097784F">
        <w:rPr>
          <w:rFonts w:eastAsia="Arial"/>
          <w:szCs w:val="24"/>
        </w:rPr>
        <w:t xml:space="preserve"> the Santa Barbara oil spill in 1969 leads to the Clean Air Act of 1970.</w:t>
      </w:r>
      <w:r w:rsidRPr="0097784F">
        <w:rPr>
          <w:rStyle w:val="FootnoteReference"/>
          <w:rFonts w:ascii="Garamond" w:eastAsia="Arial" w:hAnsi="Garamond"/>
          <w:szCs w:val="24"/>
        </w:rPr>
        <w:footnoteReference w:id="7"/>
      </w:r>
    </w:p>
    <w:p w14:paraId="031C5A85" w14:textId="77777777" w:rsidR="0086343B" w:rsidRPr="0097784F" w:rsidRDefault="0086343B" w:rsidP="0086343B">
      <w:pPr>
        <w:tabs>
          <w:tab w:val="left" w:pos="360"/>
        </w:tabs>
        <w:spacing w:line="240" w:lineRule="auto"/>
        <w:ind w:firstLine="360"/>
        <w:rPr>
          <w:rFonts w:eastAsia="Arial"/>
          <w:szCs w:val="24"/>
        </w:rPr>
      </w:pPr>
      <w:r w:rsidRPr="0097784F">
        <w:rPr>
          <w:rFonts w:eastAsia="Arial"/>
          <w:szCs w:val="24"/>
        </w:rPr>
        <w:t>This Article argues that a theory of legislative action should focus not on a unifying view of political incentives, but how coalitions are activated in favor of or in opposition to specific legislative processes and outcomes. And in focusing on those temporary, punctuated coalitions, we learn five basic principles about the logic of legislation.</w:t>
      </w:r>
    </w:p>
    <w:p w14:paraId="71C95E6E" w14:textId="77777777" w:rsidR="0086343B" w:rsidRPr="0097784F" w:rsidRDefault="0086343B" w:rsidP="0086343B">
      <w:pPr>
        <w:tabs>
          <w:tab w:val="left" w:pos="360"/>
        </w:tabs>
        <w:spacing w:line="240" w:lineRule="auto"/>
        <w:ind w:firstLine="360"/>
        <w:rPr>
          <w:rFonts w:eastAsia="Arial"/>
          <w:szCs w:val="24"/>
        </w:rPr>
      </w:pPr>
      <w:bookmarkStart w:id="2" w:name="_Hlk517100"/>
      <w:r w:rsidRPr="0097784F">
        <w:rPr>
          <w:rFonts w:eastAsia="Arial"/>
          <w:szCs w:val="24"/>
        </w:rPr>
        <w:lastRenderedPageBreak/>
        <w:t xml:space="preserve">First, policy entrepreneurs of all stripes—those who build organization around ideas, those who build the ideas themselves, those who spread those ideas inside the corridors of power, and those entrepreneurs </w:t>
      </w:r>
      <w:r w:rsidRPr="0097784F">
        <w:rPr>
          <w:rFonts w:eastAsia="Arial"/>
          <w:i/>
          <w:szCs w:val="24"/>
        </w:rPr>
        <w:t xml:space="preserve">within </w:t>
      </w:r>
      <w:r w:rsidRPr="0097784F">
        <w:rPr>
          <w:rFonts w:eastAsia="Arial"/>
          <w:szCs w:val="24"/>
        </w:rPr>
        <w:t>those corridors—are constantly contributing to intellectual currents.</w:t>
      </w:r>
      <w:r w:rsidRPr="0097784F">
        <w:rPr>
          <w:rStyle w:val="FootnoteReference"/>
          <w:rFonts w:ascii="Garamond" w:eastAsia="Arial" w:hAnsi="Garamond"/>
          <w:szCs w:val="24"/>
        </w:rPr>
        <w:footnoteReference w:id="8"/>
      </w:r>
      <w:r w:rsidRPr="0097784F">
        <w:rPr>
          <w:rFonts w:eastAsia="Arial"/>
          <w:szCs w:val="24"/>
        </w:rPr>
        <w:t xml:space="preserve"> This process of idea generation is not “active rather than reactive,” as has been argued elsewhere, but </w:t>
      </w:r>
      <w:r w:rsidRPr="0097784F">
        <w:rPr>
          <w:rFonts w:eastAsia="Arial"/>
          <w:i/>
          <w:szCs w:val="24"/>
        </w:rPr>
        <w:t xml:space="preserve">both </w:t>
      </w:r>
      <w:r w:rsidRPr="0097784F">
        <w:rPr>
          <w:rFonts w:eastAsia="Arial"/>
          <w:szCs w:val="24"/>
        </w:rPr>
        <w:t xml:space="preserve">active </w:t>
      </w:r>
      <w:r w:rsidRPr="0097784F">
        <w:rPr>
          <w:rFonts w:eastAsia="Arial"/>
          <w:i/>
          <w:szCs w:val="24"/>
        </w:rPr>
        <w:t xml:space="preserve">and </w:t>
      </w:r>
      <w:r w:rsidRPr="0097784F">
        <w:rPr>
          <w:rFonts w:eastAsia="Arial"/>
          <w:szCs w:val="24"/>
        </w:rPr>
        <w:t>reactive,</w:t>
      </w:r>
      <w:r w:rsidRPr="0097784F">
        <w:rPr>
          <w:rStyle w:val="FootnoteReference"/>
          <w:rFonts w:ascii="Garamond" w:eastAsia="Arial" w:hAnsi="Garamond"/>
          <w:szCs w:val="24"/>
        </w:rPr>
        <w:footnoteReference w:id="9"/>
      </w:r>
      <w:r w:rsidRPr="0097784F">
        <w:rPr>
          <w:rFonts w:eastAsia="Arial"/>
          <w:szCs w:val="24"/>
        </w:rPr>
        <w:t xml:space="preserve"> responding to dynamics partly endogenous to social, political, and economic forces. Policy entrepreneurs seek to ascertain and shape the zeitgeist. But this is true only partially. Policy entrepreneurs, in the way we use the term, are also constantly generating proposals within their expertise, at times shaped by outside events, at times indifferent to those events.</w:t>
      </w:r>
    </w:p>
    <w:p w14:paraId="0801CDAC" w14:textId="68084E0D" w:rsidR="00427507" w:rsidRPr="0097784F" w:rsidRDefault="0086343B" w:rsidP="0086343B">
      <w:pPr>
        <w:tabs>
          <w:tab w:val="left" w:pos="360"/>
        </w:tabs>
        <w:spacing w:line="240" w:lineRule="auto"/>
        <w:ind w:firstLine="360"/>
        <w:rPr>
          <w:rFonts w:eastAsia="Arial"/>
          <w:szCs w:val="24"/>
        </w:rPr>
      </w:pPr>
      <w:r w:rsidRPr="0097784F">
        <w:rPr>
          <w:rFonts w:eastAsia="Arial"/>
          <w:szCs w:val="24"/>
        </w:rPr>
        <w:t>Second, exogenous event</w:t>
      </w:r>
      <w:r w:rsidR="00C33830">
        <w:rPr>
          <w:rFonts w:eastAsia="Arial"/>
          <w:szCs w:val="24"/>
        </w:rPr>
        <w:t>s</w:t>
      </w:r>
      <w:r w:rsidRPr="0097784F">
        <w:rPr>
          <w:rFonts w:eastAsia="Arial"/>
          <w:szCs w:val="24"/>
        </w:rPr>
        <w:t xml:space="preserve"> trigger legislative reaction</w:t>
      </w:r>
      <w:r w:rsidR="00C33830">
        <w:rPr>
          <w:rFonts w:eastAsia="Arial"/>
          <w:szCs w:val="24"/>
        </w:rPr>
        <w:t>s</w:t>
      </w:r>
      <w:r w:rsidRPr="0097784F">
        <w:rPr>
          <w:rFonts w:eastAsia="Arial"/>
          <w:szCs w:val="24"/>
        </w:rPr>
        <w:t>. Crises can function as this exogenous event, as scholars such as Roberta Romano, Paul Mahoney, and others have observed.</w:t>
      </w:r>
      <w:r w:rsidRPr="0097784F">
        <w:rPr>
          <w:rFonts w:eastAsia="Arial"/>
          <w:szCs w:val="24"/>
          <w:vertAlign w:val="superscript"/>
        </w:rPr>
        <w:footnoteReference w:id="10"/>
      </w:r>
      <w:r w:rsidRPr="0097784F">
        <w:rPr>
          <w:rFonts w:eastAsia="Arial"/>
          <w:szCs w:val="24"/>
        </w:rPr>
        <w:t xml:space="preserve"> But the class of events that trigger</w:t>
      </w:r>
      <w:r w:rsidR="00DF4EF9" w:rsidRPr="0097784F">
        <w:rPr>
          <w:rFonts w:eastAsia="Arial"/>
          <w:szCs w:val="24"/>
        </w:rPr>
        <w:t>—or fail to trigger—</w:t>
      </w:r>
      <w:r w:rsidRPr="0097784F">
        <w:rPr>
          <w:rFonts w:eastAsia="Arial"/>
          <w:szCs w:val="24"/>
        </w:rPr>
        <w:t xml:space="preserve">legislative outcomes are </w:t>
      </w:r>
      <w:r w:rsidRPr="0097784F">
        <w:rPr>
          <w:rFonts w:eastAsia="Arial"/>
          <w:szCs w:val="24"/>
        </w:rPr>
        <w:lastRenderedPageBreak/>
        <w:t xml:space="preserve">much </w:t>
      </w:r>
      <w:r w:rsidR="00D8217B" w:rsidRPr="0097784F">
        <w:rPr>
          <w:rFonts w:eastAsia="Arial"/>
          <w:szCs w:val="24"/>
        </w:rPr>
        <w:t>m</w:t>
      </w:r>
      <w:r w:rsidRPr="0097784F">
        <w:rPr>
          <w:rFonts w:eastAsia="Arial"/>
          <w:szCs w:val="24"/>
        </w:rPr>
        <w:t xml:space="preserve">ore varied than crises. They include </w:t>
      </w:r>
      <w:r w:rsidR="00DA6FC4" w:rsidRPr="0097784F">
        <w:rPr>
          <w:rFonts w:eastAsia="Arial"/>
          <w:szCs w:val="24"/>
        </w:rPr>
        <w:t>recessions</w:t>
      </w:r>
      <w:r w:rsidRPr="0097784F">
        <w:rPr>
          <w:rFonts w:eastAsia="Arial"/>
          <w:szCs w:val="24"/>
        </w:rPr>
        <w:t>,</w:t>
      </w:r>
      <w:r w:rsidR="00DF4EF9" w:rsidRPr="0097784F">
        <w:rPr>
          <w:rStyle w:val="FootnoteReference"/>
          <w:rFonts w:ascii="Garamond" w:eastAsia="Arial" w:hAnsi="Garamond"/>
          <w:szCs w:val="24"/>
        </w:rPr>
        <w:footnoteReference w:id="11"/>
      </w:r>
      <w:r w:rsidRPr="0097784F">
        <w:rPr>
          <w:rFonts w:eastAsia="Arial"/>
          <w:szCs w:val="24"/>
        </w:rPr>
        <w:t xml:space="preserve"> public</w:t>
      </w:r>
      <w:r w:rsidR="00DF4EF9" w:rsidRPr="0097784F">
        <w:rPr>
          <w:rStyle w:val="FootnoteReference"/>
          <w:rFonts w:ascii="Garamond" w:eastAsia="Arial" w:hAnsi="Garamond"/>
          <w:szCs w:val="24"/>
        </w:rPr>
        <w:footnoteReference w:id="12"/>
      </w:r>
      <w:r w:rsidRPr="0097784F">
        <w:rPr>
          <w:rFonts w:eastAsia="Arial"/>
          <w:szCs w:val="24"/>
        </w:rPr>
        <w:t xml:space="preserve"> and private</w:t>
      </w:r>
      <w:r w:rsidR="00493E40" w:rsidRPr="0097784F">
        <w:rPr>
          <w:rFonts w:eastAsia="Arial"/>
          <w:szCs w:val="24"/>
          <w:vertAlign w:val="superscript"/>
        </w:rPr>
        <w:footnoteReference w:id="13"/>
      </w:r>
      <w:r w:rsidRPr="0097784F">
        <w:rPr>
          <w:rFonts w:eastAsia="Arial"/>
          <w:szCs w:val="24"/>
        </w:rPr>
        <w:t xml:space="preserve"> scandals, close elections,</w:t>
      </w:r>
      <w:r w:rsidR="00DF4EF9" w:rsidRPr="0097784F">
        <w:rPr>
          <w:rStyle w:val="FootnoteReference"/>
          <w:rFonts w:ascii="Garamond" w:eastAsia="Arial" w:hAnsi="Garamond"/>
          <w:szCs w:val="24"/>
        </w:rPr>
        <w:footnoteReference w:id="14"/>
      </w:r>
      <w:r w:rsidRPr="0097784F">
        <w:rPr>
          <w:rFonts w:eastAsia="Arial"/>
          <w:szCs w:val="24"/>
        </w:rPr>
        <w:t xml:space="preserve"> </w:t>
      </w:r>
      <w:r w:rsidR="00DF4EF9" w:rsidRPr="0097784F">
        <w:rPr>
          <w:rFonts w:eastAsia="Arial"/>
          <w:szCs w:val="24"/>
        </w:rPr>
        <w:t xml:space="preserve">or </w:t>
      </w:r>
      <w:r w:rsidRPr="0097784F">
        <w:rPr>
          <w:rFonts w:eastAsia="Arial"/>
          <w:szCs w:val="24"/>
        </w:rPr>
        <w:t>the appointment of Administrator A over Administrator B</w:t>
      </w:r>
      <w:r w:rsidR="00DF4EF9" w:rsidRPr="0097784F">
        <w:rPr>
          <w:rFonts w:eastAsia="Arial"/>
          <w:szCs w:val="24"/>
        </w:rPr>
        <w:t>.</w:t>
      </w:r>
      <w:r w:rsidR="0061464B" w:rsidRPr="0097784F">
        <w:rPr>
          <w:rFonts w:eastAsia="Arial"/>
          <w:szCs w:val="24"/>
          <w:vertAlign w:val="superscript"/>
        </w:rPr>
        <w:t xml:space="preserve"> </w:t>
      </w:r>
      <w:r w:rsidR="0061464B" w:rsidRPr="0097784F">
        <w:rPr>
          <w:rFonts w:eastAsia="Arial"/>
          <w:szCs w:val="24"/>
          <w:vertAlign w:val="superscript"/>
        </w:rPr>
        <w:footnoteReference w:id="15"/>
      </w:r>
      <w:r w:rsidRPr="0097784F">
        <w:rPr>
          <w:rFonts w:eastAsia="Arial"/>
          <w:szCs w:val="24"/>
        </w:rPr>
        <w:t xml:space="preserve"> </w:t>
      </w:r>
    </w:p>
    <w:p w14:paraId="5538920E" w14:textId="5E3F4E28" w:rsidR="0086343B" w:rsidRPr="0097784F" w:rsidRDefault="0086343B" w:rsidP="0086343B">
      <w:pPr>
        <w:tabs>
          <w:tab w:val="left" w:pos="360"/>
        </w:tabs>
        <w:spacing w:line="240" w:lineRule="auto"/>
        <w:ind w:firstLine="360"/>
        <w:rPr>
          <w:rFonts w:eastAsia="Arial"/>
          <w:szCs w:val="24"/>
        </w:rPr>
      </w:pPr>
      <w:r w:rsidRPr="0097784F">
        <w:rPr>
          <w:rFonts w:eastAsia="Arial"/>
          <w:szCs w:val="24"/>
        </w:rPr>
        <w:t>These events are effectively random</w:t>
      </w:r>
      <w:r w:rsidR="00DF4EF9" w:rsidRPr="0097784F">
        <w:rPr>
          <w:rFonts w:eastAsia="Arial"/>
          <w:szCs w:val="24"/>
        </w:rPr>
        <w:t xml:space="preserve">, </w:t>
      </w:r>
      <w:r w:rsidR="00427507" w:rsidRPr="0097784F">
        <w:rPr>
          <w:rFonts w:eastAsia="Arial"/>
          <w:szCs w:val="24"/>
        </w:rPr>
        <w:t xml:space="preserve">in two important ways. First, there is no effective mechanism of ex ante prediction of the </w:t>
      </w:r>
      <w:r w:rsidR="00427507" w:rsidRPr="0097784F">
        <w:rPr>
          <w:rFonts w:eastAsia="Arial"/>
          <w:szCs w:val="24"/>
        </w:rPr>
        <w:lastRenderedPageBreak/>
        <w:t xml:space="preserve">depth and scope of these exogenous events. And second, even when there is </w:t>
      </w:r>
      <w:r w:rsidR="00427507" w:rsidRPr="0097784F">
        <w:rPr>
          <w:rFonts w:eastAsia="Arial"/>
          <w:i/>
          <w:szCs w:val="24"/>
        </w:rPr>
        <w:t xml:space="preserve">some </w:t>
      </w:r>
      <w:r w:rsidR="00427507" w:rsidRPr="0097784F">
        <w:rPr>
          <w:rFonts w:eastAsia="Arial"/>
          <w:szCs w:val="24"/>
        </w:rPr>
        <w:t>effective attempt at forecast—</w:t>
      </w:r>
      <w:r w:rsidRPr="0097784F">
        <w:rPr>
          <w:rFonts w:eastAsia="Arial"/>
          <w:szCs w:val="24"/>
        </w:rPr>
        <w:t xml:space="preserve">a market reaction, for example—the likelihood that a specific exogenous event will have legislative salience </w:t>
      </w:r>
      <w:r w:rsidR="00427507" w:rsidRPr="0097784F">
        <w:rPr>
          <w:rFonts w:eastAsia="Arial"/>
          <w:szCs w:val="24"/>
        </w:rPr>
        <w:t xml:space="preserve">or not </w:t>
      </w:r>
      <w:r w:rsidRPr="0097784F">
        <w:rPr>
          <w:rFonts w:eastAsia="Arial"/>
          <w:szCs w:val="24"/>
        </w:rPr>
        <w:t>is unknowable</w:t>
      </w:r>
      <w:r w:rsidR="00427507" w:rsidRPr="0097784F">
        <w:rPr>
          <w:rFonts w:eastAsia="Arial"/>
          <w:szCs w:val="24"/>
        </w:rPr>
        <w:t xml:space="preserve"> (compare the legislative events that occurred or didn’t in the footnotes of the previous paragraph)</w:t>
      </w:r>
      <w:r w:rsidRPr="0097784F">
        <w:rPr>
          <w:rFonts w:eastAsia="Arial"/>
          <w:szCs w:val="24"/>
        </w:rPr>
        <w:t>. The temptation to put a narrative on random events—the “narrative fallacy”—is ubiquitous, but an understanding of how these events shape legislation must not lose sight of the randomness of legislative triggers</w:t>
      </w:r>
      <w:r w:rsidR="008C7908" w:rsidRPr="0097784F">
        <w:rPr>
          <w:rFonts w:eastAsia="Arial"/>
          <w:szCs w:val="24"/>
        </w:rPr>
        <w:t xml:space="preserve"> and legislative processes</w:t>
      </w:r>
      <w:r w:rsidRPr="0097784F">
        <w:rPr>
          <w:rFonts w:eastAsia="Arial"/>
          <w:szCs w:val="24"/>
        </w:rPr>
        <w:t>.</w:t>
      </w:r>
      <w:r w:rsidRPr="0097784F">
        <w:rPr>
          <w:rStyle w:val="FootnoteReference"/>
          <w:rFonts w:ascii="Garamond" w:eastAsia="Arial" w:hAnsi="Garamond"/>
          <w:szCs w:val="24"/>
        </w:rPr>
        <w:footnoteReference w:id="16"/>
      </w:r>
    </w:p>
    <w:p w14:paraId="764809CF" w14:textId="14BC938F" w:rsidR="0086343B" w:rsidRPr="0097784F" w:rsidRDefault="0086343B" w:rsidP="0086343B">
      <w:pPr>
        <w:tabs>
          <w:tab w:val="left" w:pos="360"/>
        </w:tabs>
        <w:spacing w:line="240" w:lineRule="auto"/>
        <w:ind w:firstLine="360"/>
        <w:rPr>
          <w:rFonts w:eastAsia="Arial"/>
          <w:szCs w:val="24"/>
        </w:rPr>
      </w:pPr>
      <w:r w:rsidRPr="0097784F">
        <w:rPr>
          <w:rFonts w:eastAsia="Arial"/>
          <w:szCs w:val="24"/>
        </w:rPr>
        <w:t xml:space="preserve">Third, </w:t>
      </w:r>
      <w:r w:rsidR="00C76471" w:rsidRPr="0097784F">
        <w:rPr>
          <w:rFonts w:eastAsia="Arial"/>
          <w:szCs w:val="24"/>
        </w:rPr>
        <w:t xml:space="preserve">these random </w:t>
      </w:r>
      <w:r w:rsidRPr="0097784F">
        <w:rPr>
          <w:rFonts w:eastAsia="Arial"/>
          <w:szCs w:val="24"/>
        </w:rPr>
        <w:t xml:space="preserve">exogenous events will activate </w:t>
      </w:r>
      <w:r w:rsidR="00C76471" w:rsidRPr="0097784F">
        <w:rPr>
          <w:rFonts w:eastAsia="Arial"/>
          <w:szCs w:val="24"/>
        </w:rPr>
        <w:t xml:space="preserve">preexisting </w:t>
      </w:r>
      <w:r w:rsidRPr="0097784F">
        <w:rPr>
          <w:rFonts w:eastAsia="Arial"/>
          <w:szCs w:val="24"/>
        </w:rPr>
        <w:t>coalitions that spring from the deep institutional framework that previous law has already created.</w:t>
      </w:r>
      <w:r w:rsidRPr="0097784F">
        <w:rPr>
          <w:rStyle w:val="FootnoteReference"/>
          <w:rFonts w:ascii="Garamond" w:eastAsia="Arial" w:hAnsi="Garamond"/>
          <w:szCs w:val="24"/>
        </w:rPr>
        <w:footnoteReference w:id="17"/>
      </w:r>
      <w:r w:rsidRPr="0097784F">
        <w:rPr>
          <w:rFonts w:eastAsia="Arial"/>
          <w:szCs w:val="24"/>
        </w:rPr>
        <w:t xml:space="preserve"> There are no do-overs in American political history.</w:t>
      </w:r>
      <w:r w:rsidR="00C76471" w:rsidRPr="0097784F">
        <w:rPr>
          <w:rFonts w:eastAsia="Arial"/>
          <w:szCs w:val="24"/>
        </w:rPr>
        <w:t xml:space="preserve"> Even revolutionary and constitutional moments build on deeply ingrained institutional frameworks.</w:t>
      </w:r>
      <w:r w:rsidR="00C76471" w:rsidRPr="0097784F">
        <w:rPr>
          <w:rStyle w:val="FootnoteReference"/>
          <w:rFonts w:ascii="Garamond" w:eastAsia="Arial" w:hAnsi="Garamond"/>
          <w:szCs w:val="24"/>
        </w:rPr>
        <w:footnoteReference w:id="18"/>
      </w:r>
      <w:r w:rsidRPr="0097784F">
        <w:rPr>
          <w:rFonts w:eastAsia="Arial"/>
          <w:szCs w:val="24"/>
        </w:rPr>
        <w:t xml:space="preserve"> </w:t>
      </w:r>
      <w:r w:rsidR="00C33830">
        <w:rPr>
          <w:rFonts w:eastAsia="Arial"/>
          <w:szCs w:val="24"/>
        </w:rPr>
        <w:lastRenderedPageBreak/>
        <w:t>L</w:t>
      </w:r>
      <w:r w:rsidR="00B476EC" w:rsidRPr="0097784F">
        <w:rPr>
          <w:rFonts w:eastAsia="Arial"/>
          <w:szCs w:val="24"/>
        </w:rPr>
        <w:t>egislation, even so-called “organic statutes” that create administrative agencies</w:t>
      </w:r>
      <w:r w:rsidR="00B476EC" w:rsidRPr="0097784F">
        <w:rPr>
          <w:rStyle w:val="FootnoteReference"/>
          <w:rFonts w:ascii="Garamond" w:eastAsia="Arial" w:hAnsi="Garamond"/>
          <w:szCs w:val="24"/>
        </w:rPr>
        <w:footnoteReference w:id="19"/>
      </w:r>
      <w:r w:rsidR="00B476EC" w:rsidRPr="0097784F">
        <w:rPr>
          <w:rFonts w:eastAsia="Arial"/>
          <w:szCs w:val="24"/>
        </w:rPr>
        <w:t>—</w:t>
      </w:r>
      <w:r w:rsidRPr="0097784F">
        <w:rPr>
          <w:rFonts w:eastAsia="Arial"/>
          <w:szCs w:val="24"/>
        </w:rPr>
        <w:t>the Federal Reserve Act</w:t>
      </w:r>
      <w:r w:rsidR="00B476EC" w:rsidRPr="0097784F">
        <w:rPr>
          <w:rFonts w:eastAsia="Arial"/>
          <w:szCs w:val="24"/>
        </w:rPr>
        <w:t xml:space="preserve"> of 1913, for example</w:t>
      </w:r>
      <w:r w:rsidRPr="0097784F">
        <w:rPr>
          <w:rFonts w:eastAsia="Arial"/>
          <w:szCs w:val="24"/>
        </w:rPr>
        <w:t>—are built carefully on top of preexisting ideas, institutions, and structures. Legislation can destroy as well as create, but always in a process of “institutional layering</w:t>
      </w:r>
      <w:r w:rsidR="00D54954" w:rsidRPr="0097784F">
        <w:rPr>
          <w:rFonts w:eastAsia="Arial"/>
          <w:szCs w:val="24"/>
        </w:rPr>
        <w:t>” and “institutional drift</w:t>
      </w:r>
      <w:r w:rsidR="00C33830">
        <w:rPr>
          <w:rFonts w:eastAsia="Arial"/>
          <w:szCs w:val="24"/>
        </w:rPr>
        <w:t>.</w:t>
      </w:r>
      <w:r w:rsidR="00D54954" w:rsidRPr="0097784F">
        <w:rPr>
          <w:rFonts w:eastAsia="Arial"/>
          <w:szCs w:val="24"/>
        </w:rPr>
        <w:t>”</w:t>
      </w:r>
      <w:r w:rsidR="00D54954" w:rsidRPr="0097784F">
        <w:rPr>
          <w:rStyle w:val="FootnoteReference"/>
          <w:rFonts w:ascii="Garamond" w:eastAsia="Arial" w:hAnsi="Garamond"/>
          <w:szCs w:val="24"/>
        </w:rPr>
        <w:footnoteReference w:id="20"/>
      </w:r>
      <w:r w:rsidRPr="0097784F">
        <w:rPr>
          <w:rFonts w:eastAsia="Arial"/>
          <w:szCs w:val="24"/>
        </w:rPr>
        <w:t xml:space="preserve"> </w:t>
      </w:r>
    </w:p>
    <w:p w14:paraId="44AD4B87" w14:textId="2B95B24B" w:rsidR="0086343B" w:rsidRPr="0097784F" w:rsidRDefault="0086343B" w:rsidP="0086343B">
      <w:pPr>
        <w:tabs>
          <w:tab w:val="left" w:pos="360"/>
        </w:tabs>
        <w:spacing w:line="240" w:lineRule="auto"/>
        <w:ind w:firstLine="360"/>
        <w:rPr>
          <w:rFonts w:eastAsia="Arial"/>
          <w:szCs w:val="24"/>
        </w:rPr>
      </w:pPr>
      <w:r w:rsidRPr="0097784F">
        <w:rPr>
          <w:rFonts w:eastAsia="Arial"/>
          <w:szCs w:val="24"/>
        </w:rPr>
        <w:t>Institutional layering is particularly important because it places a specific interest group—incumbent regulators—as a dominant force in shaping legislative processes and outcomes relevant to their policy space. When multiple regulators intersect in a single policy space—in finance, health care, privacy, or intelligence, to name but a few—the conflicts between agencies can have dramatic consequences for legislation.</w:t>
      </w:r>
      <w:r w:rsidR="001156DF" w:rsidRPr="0097784F">
        <w:rPr>
          <w:rFonts w:eastAsia="Arial"/>
          <w:szCs w:val="24"/>
          <w:vertAlign w:val="superscript"/>
        </w:rPr>
        <w:footnoteReference w:id="21"/>
      </w:r>
      <w:r w:rsidRPr="0097784F">
        <w:rPr>
          <w:rFonts w:eastAsia="Arial"/>
          <w:szCs w:val="24"/>
        </w:rPr>
        <w:t xml:space="preserve"> Even where a single dominant federal regulator exists in a domain—such as environmental protection—federalism invites the same kind of dynamic between incumbent regulatory conflict and new legislative priorities.</w:t>
      </w:r>
      <w:r w:rsidRPr="0097784F">
        <w:rPr>
          <w:rStyle w:val="FootnoteReference"/>
          <w:rFonts w:ascii="Garamond" w:eastAsia="Arial" w:hAnsi="Garamond"/>
          <w:szCs w:val="24"/>
        </w:rPr>
        <w:footnoteReference w:id="22"/>
      </w:r>
      <w:r w:rsidRPr="0097784F">
        <w:rPr>
          <w:rFonts w:eastAsia="Arial"/>
          <w:szCs w:val="24"/>
        </w:rPr>
        <w:t xml:space="preserve">  </w:t>
      </w:r>
    </w:p>
    <w:p w14:paraId="4737414D" w14:textId="2569078F" w:rsidR="0086343B" w:rsidRPr="0097784F" w:rsidRDefault="0086343B" w:rsidP="0086343B">
      <w:pPr>
        <w:tabs>
          <w:tab w:val="left" w:pos="360"/>
        </w:tabs>
        <w:spacing w:line="240" w:lineRule="auto"/>
        <w:ind w:firstLine="360"/>
        <w:rPr>
          <w:rFonts w:eastAsia="Arial"/>
          <w:szCs w:val="24"/>
        </w:rPr>
      </w:pPr>
      <w:r w:rsidRPr="0097784F">
        <w:rPr>
          <w:rFonts w:eastAsia="Arial"/>
          <w:szCs w:val="24"/>
        </w:rPr>
        <w:t xml:space="preserve">Fourth, successful </w:t>
      </w:r>
      <w:r w:rsidRPr="0097784F">
        <w:rPr>
          <w:rFonts w:eastAsia="Arial"/>
          <w:i/>
          <w:szCs w:val="24"/>
        </w:rPr>
        <w:t>legislative</w:t>
      </w:r>
      <w:r w:rsidRPr="0097784F">
        <w:rPr>
          <w:rFonts w:eastAsia="Arial"/>
          <w:szCs w:val="24"/>
        </w:rPr>
        <w:t xml:space="preserve"> coalitions are </w:t>
      </w:r>
      <w:r w:rsidR="00060E54" w:rsidRPr="0097784F">
        <w:rPr>
          <w:rFonts w:eastAsia="Arial"/>
          <w:szCs w:val="24"/>
        </w:rPr>
        <w:t xml:space="preserve">related to but distinct from two other entities that receive far more attention in politics and policy: party coalitions and </w:t>
      </w:r>
      <w:r w:rsidRPr="0097784F">
        <w:rPr>
          <w:rFonts w:eastAsia="Arial"/>
          <w:szCs w:val="24"/>
        </w:rPr>
        <w:t xml:space="preserve">special interest groups. </w:t>
      </w:r>
      <w:r w:rsidR="00060E54" w:rsidRPr="0097784F">
        <w:rPr>
          <w:rFonts w:eastAsia="Arial"/>
          <w:szCs w:val="24"/>
        </w:rPr>
        <w:t>While party coalitions can shift, sometimes dramatically, over the course of decades, they demonstrate more durability than legislative coalitions. Special interest groups may be more durable still.</w:t>
      </w:r>
      <w:r w:rsidR="00060E54" w:rsidRPr="0097784F">
        <w:rPr>
          <w:rStyle w:val="FootnoteReference"/>
          <w:rFonts w:ascii="Garamond" w:eastAsia="Arial" w:hAnsi="Garamond"/>
          <w:szCs w:val="24"/>
        </w:rPr>
        <w:footnoteReference w:id="23"/>
      </w:r>
      <w:r w:rsidR="00060E54" w:rsidRPr="0097784F">
        <w:rPr>
          <w:rFonts w:eastAsia="Arial"/>
          <w:szCs w:val="24"/>
        </w:rPr>
        <w:t xml:space="preserve"> </w:t>
      </w:r>
      <w:r w:rsidRPr="0097784F">
        <w:rPr>
          <w:rFonts w:eastAsia="Arial"/>
          <w:szCs w:val="24"/>
        </w:rPr>
        <w:t>Legislative coalitions</w:t>
      </w:r>
      <w:r w:rsidR="00EB6780" w:rsidRPr="0097784F">
        <w:rPr>
          <w:rFonts w:eastAsia="Arial"/>
          <w:szCs w:val="24"/>
        </w:rPr>
        <w:t>, on the other hand,</w:t>
      </w:r>
      <w:r w:rsidRPr="0097784F">
        <w:rPr>
          <w:rFonts w:eastAsia="Arial"/>
          <w:szCs w:val="24"/>
        </w:rPr>
        <w:t xml:space="preserve"> are temporary, coalescing around the ideas and networks of policy entrepreneurs</w:t>
      </w:r>
      <w:r w:rsidR="00EB6780" w:rsidRPr="0097784F">
        <w:rPr>
          <w:rFonts w:eastAsia="Arial"/>
          <w:szCs w:val="24"/>
        </w:rPr>
        <w:t>, special interest groups, and political parties</w:t>
      </w:r>
      <w:r w:rsidRPr="0097784F">
        <w:rPr>
          <w:rFonts w:eastAsia="Arial"/>
          <w:szCs w:val="24"/>
        </w:rPr>
        <w:t xml:space="preserve"> to push ideas to </w:t>
      </w:r>
      <w:r w:rsidR="00EB6780" w:rsidRPr="0097784F">
        <w:rPr>
          <w:rFonts w:eastAsia="Arial"/>
          <w:szCs w:val="24"/>
        </w:rPr>
        <w:t xml:space="preserve">a legal </w:t>
      </w:r>
      <w:r w:rsidRPr="0097784F">
        <w:rPr>
          <w:rFonts w:eastAsia="Arial"/>
          <w:szCs w:val="24"/>
        </w:rPr>
        <w:t xml:space="preserve">conclusion. These </w:t>
      </w:r>
      <w:r w:rsidR="00EB6780" w:rsidRPr="0097784F">
        <w:rPr>
          <w:rFonts w:eastAsia="Arial"/>
          <w:szCs w:val="24"/>
        </w:rPr>
        <w:t xml:space="preserve">are the </w:t>
      </w:r>
      <w:r w:rsidRPr="0097784F">
        <w:rPr>
          <w:rFonts w:eastAsia="Arial"/>
          <w:szCs w:val="24"/>
        </w:rPr>
        <w:t xml:space="preserve">“punctuated coalitions” can disband even as legislation is debated. They are fragile and do not endure. </w:t>
      </w:r>
    </w:p>
    <w:p w14:paraId="2DD0F6D9" w14:textId="7560DCC5" w:rsidR="0086343B" w:rsidRPr="0097784F" w:rsidRDefault="0086343B" w:rsidP="0086343B">
      <w:pPr>
        <w:tabs>
          <w:tab w:val="left" w:pos="360"/>
        </w:tabs>
        <w:spacing w:line="240" w:lineRule="auto"/>
        <w:ind w:firstLine="360"/>
        <w:rPr>
          <w:rFonts w:eastAsia="Arial"/>
          <w:szCs w:val="24"/>
        </w:rPr>
      </w:pPr>
      <w:r w:rsidRPr="0097784F">
        <w:rPr>
          <w:rFonts w:eastAsia="Arial"/>
          <w:szCs w:val="24"/>
        </w:rPr>
        <w:lastRenderedPageBreak/>
        <w:t xml:space="preserve">And fifth, </w:t>
      </w:r>
      <w:r w:rsidR="00EB6780" w:rsidRPr="0097784F">
        <w:rPr>
          <w:rFonts w:eastAsia="Arial"/>
          <w:szCs w:val="24"/>
        </w:rPr>
        <w:t xml:space="preserve">legislative </w:t>
      </w:r>
      <w:r w:rsidRPr="0097784F">
        <w:rPr>
          <w:rFonts w:eastAsia="Arial"/>
          <w:szCs w:val="24"/>
        </w:rPr>
        <w:t>anti-coalitions—those punctuated coalitions that arise in opposition to specific legislative projects—shape the processes and content of legislation profoundly, even when they do not join the punctuated legislative coalition that ultimately guides legislation to conclusion. By defining the boundaries of acceptable discourse—by shifting the so-called Overton window</w:t>
      </w:r>
      <w:r w:rsidRPr="0097784F">
        <w:rPr>
          <w:rStyle w:val="FootnoteReference"/>
          <w:rFonts w:ascii="Garamond" w:eastAsia="Arial" w:hAnsi="Garamond"/>
          <w:szCs w:val="24"/>
        </w:rPr>
        <w:footnoteReference w:id="24"/>
      </w:r>
      <w:r w:rsidRPr="0097784F">
        <w:rPr>
          <w:rFonts w:eastAsia="Arial"/>
          <w:szCs w:val="24"/>
        </w:rPr>
        <w:t>—anti-coalitions influence how longstanding coalitions interact with each other as legislative debates unfold.</w:t>
      </w:r>
    </w:p>
    <w:bookmarkEnd w:id="2"/>
    <w:p w14:paraId="449AAE6F" w14:textId="77777777" w:rsidR="0086343B" w:rsidRPr="0097784F" w:rsidRDefault="0086343B" w:rsidP="0086343B">
      <w:pPr>
        <w:tabs>
          <w:tab w:val="left" w:pos="360"/>
        </w:tabs>
        <w:spacing w:line="240" w:lineRule="auto"/>
        <w:ind w:firstLine="360"/>
        <w:rPr>
          <w:rFonts w:eastAsia="Arial"/>
          <w:szCs w:val="24"/>
        </w:rPr>
      </w:pPr>
      <w:r w:rsidRPr="0097784F">
        <w:rPr>
          <w:rFonts w:eastAsia="Arial"/>
          <w:szCs w:val="24"/>
        </w:rPr>
        <w:t xml:space="preserve">Randomness plays a decisive role in the punctuated coalitional theory of legislation, just as it does in evolutionary theory. But that does not mean we aim to replace confident predictive legislative theory with legislative nihilism. Instead, the intellectual payoff of punctuated coalitional theory is the attention it focuses on the </w:t>
      </w:r>
      <w:r w:rsidRPr="0097784F">
        <w:rPr>
          <w:rFonts w:eastAsia="Arial"/>
          <w:i/>
          <w:szCs w:val="24"/>
        </w:rPr>
        <w:t xml:space="preserve">reaction </w:t>
      </w:r>
      <w:r w:rsidRPr="0097784F">
        <w:rPr>
          <w:rFonts w:eastAsia="Arial"/>
          <w:szCs w:val="24"/>
        </w:rPr>
        <w:t xml:space="preserve">to random events, particularly the negotiation between and among coalitional groups—both in support of and in opposition to a specific legislative outcome. These reactions are a process of activating and manipulating preexisting intellectual streams promoted by policy entrepreneurs whose views exist at the periphery of legislative action until activated by these random events. When exogenous events activate ideas, coalitions form, subject to the whims of an ongoing stochastic process. Legislation is the outcome. </w:t>
      </w:r>
    </w:p>
    <w:p w14:paraId="7D22BCBA" w14:textId="2A11D74D" w:rsidR="0086343B" w:rsidRPr="0097784F" w:rsidRDefault="0086343B" w:rsidP="0086343B">
      <w:pPr>
        <w:pStyle w:val="BodyText"/>
        <w:tabs>
          <w:tab w:val="left" w:pos="360"/>
        </w:tabs>
        <w:spacing w:line="240" w:lineRule="auto"/>
        <w:rPr>
          <w:rFonts w:ascii="Garamond" w:eastAsia="Arial" w:hAnsi="Garamond"/>
          <w:szCs w:val="24"/>
        </w:rPr>
      </w:pPr>
      <w:r w:rsidRPr="0097784F">
        <w:rPr>
          <w:rFonts w:ascii="Garamond" w:eastAsia="Arial" w:hAnsi="Garamond"/>
          <w:szCs w:val="24"/>
        </w:rPr>
        <w:t>To arrive at these five principles, this Article surveys the rich history of one vein of system-wide legislation: finance, beginning with the Federal Reserve Act of 1913</w:t>
      </w:r>
      <w:r w:rsidRPr="0097784F">
        <w:rPr>
          <w:rStyle w:val="FootnoteReference"/>
          <w:rFonts w:ascii="Garamond" w:eastAsia="Arial" w:hAnsi="Garamond"/>
          <w:szCs w:val="24"/>
        </w:rPr>
        <w:footnoteReference w:id="25"/>
      </w:r>
      <w:r w:rsidRPr="0097784F">
        <w:rPr>
          <w:rFonts w:ascii="Garamond" w:eastAsia="Arial" w:hAnsi="Garamond"/>
          <w:szCs w:val="24"/>
        </w:rPr>
        <w:t xml:space="preserve"> and continuing through more than a dozen pieces of major financial legislation, culminating in the Wall Street Reform and Consumer Protection Act of 2010 (the Dodd-Frank Act).</w:t>
      </w:r>
      <w:r w:rsidRPr="0097784F">
        <w:rPr>
          <w:rStyle w:val="FootnoteReference"/>
          <w:rFonts w:ascii="Garamond" w:eastAsia="Arial" w:hAnsi="Garamond"/>
          <w:szCs w:val="24"/>
        </w:rPr>
        <w:footnoteReference w:id="26"/>
      </w:r>
      <w:r w:rsidRPr="0097784F">
        <w:rPr>
          <w:rFonts w:ascii="Garamond" w:eastAsia="Arial" w:hAnsi="Garamond"/>
          <w:szCs w:val="24"/>
        </w:rPr>
        <w:t xml:space="preserve"> What follows will challenge existing historical narratives about the Progressive Era, the New Deal, the postwar period of legislative experimentation, and </w:t>
      </w:r>
      <w:r w:rsidR="00C33830">
        <w:rPr>
          <w:rFonts w:ascii="Garamond" w:eastAsia="Arial" w:hAnsi="Garamond"/>
          <w:szCs w:val="24"/>
        </w:rPr>
        <w:t xml:space="preserve">the legislative reaction to </w:t>
      </w:r>
      <w:r w:rsidRPr="0097784F">
        <w:rPr>
          <w:rFonts w:ascii="Garamond" w:eastAsia="Arial" w:hAnsi="Garamond"/>
          <w:szCs w:val="24"/>
        </w:rPr>
        <w:t xml:space="preserve">one of the most devastating financial panics of U.S. history. </w:t>
      </w:r>
    </w:p>
    <w:p w14:paraId="38AF14B2" w14:textId="423B8BFD" w:rsidR="0086343B" w:rsidRPr="0097784F" w:rsidRDefault="00375545" w:rsidP="0086343B">
      <w:pPr>
        <w:pStyle w:val="BodyText"/>
        <w:tabs>
          <w:tab w:val="left" w:pos="360"/>
        </w:tabs>
        <w:spacing w:line="240" w:lineRule="auto"/>
        <w:rPr>
          <w:rFonts w:ascii="Garamond" w:hAnsi="Garamond"/>
          <w:szCs w:val="24"/>
        </w:rPr>
      </w:pPr>
      <w:r w:rsidRPr="0097784F">
        <w:rPr>
          <w:rFonts w:ascii="Garamond" w:eastAsia="Arial" w:hAnsi="Garamond"/>
          <w:szCs w:val="24"/>
        </w:rPr>
        <w:t xml:space="preserve">While financial legislation may in some ways be idiosyncratic, particularly in the lack of durable political party coalitions around </w:t>
      </w:r>
      <w:r w:rsidRPr="0097784F">
        <w:rPr>
          <w:rFonts w:ascii="Garamond" w:eastAsia="Arial" w:hAnsi="Garamond"/>
          <w:szCs w:val="24"/>
        </w:rPr>
        <w:lastRenderedPageBreak/>
        <w:t>specific legislative ideologies, t</w:t>
      </w:r>
      <w:r w:rsidR="0086343B" w:rsidRPr="0097784F">
        <w:rPr>
          <w:rFonts w:ascii="Garamond" w:eastAsia="Arial" w:hAnsi="Garamond"/>
          <w:szCs w:val="24"/>
        </w:rPr>
        <w:t xml:space="preserve">he insights a punctuated coalitional theory are not limited to finance. </w:t>
      </w:r>
      <w:r w:rsidR="0086343B" w:rsidRPr="0097784F">
        <w:rPr>
          <w:rFonts w:ascii="Garamond" w:hAnsi="Garamond"/>
          <w:szCs w:val="24"/>
        </w:rPr>
        <w:t xml:space="preserve">The complex set of interactions between ideas, randomness, and shifting coalitions invite more inquiries into the basic stories about legislative origins that can become more teleological in their narratives than the historical record suggests is appropriate. </w:t>
      </w:r>
    </w:p>
    <w:p w14:paraId="7A1DFB81" w14:textId="76BDFCD4" w:rsidR="0086343B" w:rsidRPr="0097784F" w:rsidRDefault="0086343B" w:rsidP="0086343B">
      <w:pPr>
        <w:tabs>
          <w:tab w:val="left" w:pos="360"/>
        </w:tabs>
        <w:spacing w:line="240" w:lineRule="auto"/>
        <w:ind w:firstLine="360"/>
        <w:rPr>
          <w:rFonts w:eastAsia="Arial"/>
          <w:szCs w:val="24"/>
        </w:rPr>
      </w:pPr>
      <w:r w:rsidRPr="0097784F">
        <w:rPr>
          <w:rFonts w:eastAsia="Arial"/>
          <w:szCs w:val="24"/>
        </w:rPr>
        <w:t xml:space="preserve">The Article proceeds as follows. Part I briefly outlines the existing theories </w:t>
      </w:r>
      <w:r w:rsidR="00D8217B" w:rsidRPr="0097784F">
        <w:rPr>
          <w:rFonts w:eastAsia="Arial"/>
          <w:szCs w:val="24"/>
        </w:rPr>
        <w:t xml:space="preserve">of legislation </w:t>
      </w:r>
      <w:r w:rsidRPr="0097784F">
        <w:rPr>
          <w:rFonts w:eastAsia="Arial"/>
          <w:szCs w:val="24"/>
        </w:rPr>
        <w:t xml:space="preserve">by focusing on three: legislative change </w:t>
      </w:r>
      <w:r w:rsidR="00D8217B" w:rsidRPr="0097784F">
        <w:rPr>
          <w:rFonts w:eastAsia="Arial"/>
          <w:szCs w:val="24"/>
        </w:rPr>
        <w:t xml:space="preserve">and policy entrepreneurship </w:t>
      </w:r>
      <w:r w:rsidRPr="0097784F">
        <w:rPr>
          <w:rFonts w:eastAsia="Arial"/>
          <w:szCs w:val="24"/>
        </w:rPr>
        <w:t>in political science</w:t>
      </w:r>
      <w:r w:rsidR="00D8217B" w:rsidRPr="0097784F">
        <w:rPr>
          <w:rFonts w:eastAsia="Arial"/>
          <w:szCs w:val="24"/>
        </w:rPr>
        <w:t xml:space="preserve">, financial legislation in the U.S. as a grand bargain between banks and the populist left, and financial legislation as (over)reaction to crisis. </w:t>
      </w:r>
      <w:r w:rsidRPr="0097784F">
        <w:rPr>
          <w:rFonts w:eastAsia="Arial"/>
          <w:szCs w:val="24"/>
        </w:rPr>
        <w:t>Part I then explains the Article’s institutional and coalitional theory of financial change that focuses on the way that different groups—including and especially incumbent regulators—shape legislative change and do so slowly, then suddenly</w:t>
      </w:r>
      <w:r w:rsidR="00D8217B" w:rsidRPr="0097784F">
        <w:rPr>
          <w:rFonts w:eastAsia="Arial"/>
          <w:szCs w:val="24"/>
        </w:rPr>
        <w:t>, subject to randomness throughout</w:t>
      </w:r>
      <w:r w:rsidRPr="0097784F">
        <w:rPr>
          <w:rFonts w:eastAsia="Arial"/>
          <w:szCs w:val="24"/>
        </w:rPr>
        <w:t xml:space="preserve">. </w:t>
      </w:r>
    </w:p>
    <w:p w14:paraId="311C5F69" w14:textId="0547D3CA" w:rsidR="003D2405" w:rsidRDefault="0086343B" w:rsidP="0086343B">
      <w:pPr>
        <w:tabs>
          <w:tab w:val="left" w:pos="360"/>
        </w:tabs>
        <w:spacing w:line="240" w:lineRule="auto"/>
        <w:ind w:firstLine="360"/>
        <w:rPr>
          <w:rFonts w:eastAsia="Arial"/>
          <w:szCs w:val="24"/>
        </w:rPr>
      </w:pPr>
      <w:r w:rsidRPr="0097784F">
        <w:rPr>
          <w:rFonts w:eastAsia="Arial"/>
          <w:szCs w:val="24"/>
        </w:rPr>
        <w:t>The rest of the article is a</w:t>
      </w:r>
      <w:r w:rsidR="003D2405">
        <w:rPr>
          <w:rFonts w:eastAsia="Arial"/>
          <w:szCs w:val="24"/>
        </w:rPr>
        <w:t xml:space="preserve"> </w:t>
      </w:r>
      <w:r w:rsidRPr="0097784F">
        <w:rPr>
          <w:rFonts w:eastAsia="Arial"/>
          <w:szCs w:val="24"/>
        </w:rPr>
        <w:t>selective</w:t>
      </w:r>
      <w:r w:rsidR="00D8217B" w:rsidRPr="0097784F">
        <w:rPr>
          <w:rFonts w:eastAsia="Arial"/>
          <w:szCs w:val="24"/>
        </w:rPr>
        <w:t xml:space="preserve"> </w:t>
      </w:r>
      <w:r w:rsidRPr="0097784F">
        <w:rPr>
          <w:rFonts w:eastAsia="Arial"/>
          <w:szCs w:val="24"/>
        </w:rPr>
        <w:t>history of U.S. financial legislation that proceeds in four parts. In Part II, we discuss the creation of the Federal Reserve Act as a piece of non-crisis legislation</w:t>
      </w:r>
      <w:r w:rsidR="003D2405">
        <w:rPr>
          <w:rFonts w:eastAsia="Arial"/>
          <w:szCs w:val="24"/>
        </w:rPr>
        <w:t xml:space="preserve">, despite its reputation as the quintessential piece of crisis legislation. Part III then discusses </w:t>
      </w:r>
      <w:r w:rsidRPr="0097784F">
        <w:rPr>
          <w:rFonts w:eastAsia="Arial"/>
          <w:szCs w:val="24"/>
        </w:rPr>
        <w:t xml:space="preserve">the two bursts of </w:t>
      </w:r>
      <w:r w:rsidR="003D2405">
        <w:rPr>
          <w:rFonts w:eastAsia="Arial"/>
          <w:szCs w:val="24"/>
        </w:rPr>
        <w:t xml:space="preserve">economic </w:t>
      </w:r>
      <w:r w:rsidRPr="0097784F">
        <w:rPr>
          <w:rFonts w:eastAsia="Arial"/>
          <w:szCs w:val="24"/>
        </w:rPr>
        <w:t>legislative activity following the Great Depression—</w:t>
      </w:r>
      <w:r w:rsidR="00C33830">
        <w:rPr>
          <w:rFonts w:eastAsia="Arial"/>
          <w:szCs w:val="24"/>
        </w:rPr>
        <w:t xml:space="preserve">the Banking Act of </w:t>
      </w:r>
      <w:r w:rsidRPr="0097784F">
        <w:rPr>
          <w:rFonts w:eastAsia="Arial"/>
          <w:szCs w:val="24"/>
        </w:rPr>
        <w:t xml:space="preserve">1933 </w:t>
      </w:r>
      <w:r w:rsidR="00C33830">
        <w:rPr>
          <w:rFonts w:eastAsia="Arial"/>
          <w:szCs w:val="24"/>
        </w:rPr>
        <w:t>(and the creation of deposit insurance in particular) and the Banking Act of 1935, as part of the Second New Deal</w:t>
      </w:r>
      <w:r w:rsidRPr="0097784F">
        <w:rPr>
          <w:rFonts w:eastAsia="Arial"/>
          <w:szCs w:val="24"/>
        </w:rPr>
        <w:t xml:space="preserve">—and how those bursts </w:t>
      </w:r>
      <w:r w:rsidR="00D8217B" w:rsidRPr="0097784F">
        <w:rPr>
          <w:rFonts w:eastAsia="Arial"/>
          <w:szCs w:val="24"/>
        </w:rPr>
        <w:t>follow the randomness of punctuated coalitions</w:t>
      </w:r>
      <w:r w:rsidRPr="0097784F">
        <w:rPr>
          <w:rFonts w:eastAsia="Arial"/>
          <w:szCs w:val="24"/>
        </w:rPr>
        <w:t xml:space="preserve">. In Part </w:t>
      </w:r>
      <w:r w:rsidR="003D2405">
        <w:rPr>
          <w:rFonts w:eastAsia="Arial"/>
          <w:szCs w:val="24"/>
        </w:rPr>
        <w:t>IV</w:t>
      </w:r>
      <w:r w:rsidRPr="0097784F">
        <w:rPr>
          <w:rFonts w:eastAsia="Arial"/>
          <w:szCs w:val="24"/>
        </w:rPr>
        <w:t xml:space="preserve">, we survey the </w:t>
      </w:r>
      <w:r w:rsidR="00C33830">
        <w:rPr>
          <w:rFonts w:eastAsia="Arial"/>
          <w:szCs w:val="24"/>
        </w:rPr>
        <w:t xml:space="preserve">creation of housing finance legislation and </w:t>
      </w:r>
      <w:r w:rsidR="00D8217B" w:rsidRPr="0097784F">
        <w:rPr>
          <w:rFonts w:eastAsia="Arial"/>
          <w:szCs w:val="24"/>
        </w:rPr>
        <w:t>bank holding company legislation</w:t>
      </w:r>
      <w:r w:rsidR="00C33830">
        <w:rPr>
          <w:rFonts w:eastAsia="Arial"/>
          <w:szCs w:val="24"/>
        </w:rPr>
        <w:t xml:space="preserve">. </w:t>
      </w:r>
      <w:r w:rsidR="00D8217B" w:rsidRPr="0097784F">
        <w:rPr>
          <w:rFonts w:eastAsia="Arial"/>
          <w:szCs w:val="24"/>
        </w:rPr>
        <w:t xml:space="preserve">In </w:t>
      </w:r>
      <w:r w:rsidRPr="0097784F">
        <w:rPr>
          <w:rFonts w:eastAsia="Arial"/>
          <w:szCs w:val="24"/>
        </w:rPr>
        <w:t xml:space="preserve">Part V, we discuss </w:t>
      </w:r>
      <w:r w:rsidR="00C33830">
        <w:rPr>
          <w:rFonts w:eastAsia="Arial"/>
          <w:szCs w:val="24"/>
        </w:rPr>
        <w:t>three key components of Dodd-Frank: the creation of the Consumer Financial Protection Bureau, the Financial Stability Oversight Council, and the failure to consolidate bank supervision (an effort undertaken dozens of times in U.S. history, never successful)</w:t>
      </w:r>
      <w:r w:rsidRPr="0097784F">
        <w:rPr>
          <w:rFonts w:eastAsia="Arial"/>
          <w:szCs w:val="24"/>
        </w:rPr>
        <w:t xml:space="preserve">. In each case, unique coalitions </w:t>
      </w:r>
      <w:r w:rsidR="00C33830">
        <w:rPr>
          <w:rFonts w:eastAsia="Arial"/>
          <w:szCs w:val="24"/>
        </w:rPr>
        <w:t xml:space="preserve">and anti-coalitions </w:t>
      </w:r>
      <w:r w:rsidRPr="0097784F">
        <w:rPr>
          <w:rFonts w:eastAsia="Arial"/>
          <w:szCs w:val="24"/>
        </w:rPr>
        <w:t xml:space="preserve">arose to solve a number of disparate problems. </w:t>
      </w:r>
    </w:p>
    <w:p w14:paraId="0BDDAAFF" w14:textId="2F94A481" w:rsidR="0086343B" w:rsidRPr="00C33830" w:rsidRDefault="00D8217B" w:rsidP="00C33830">
      <w:pPr>
        <w:tabs>
          <w:tab w:val="left" w:pos="360"/>
        </w:tabs>
        <w:spacing w:line="240" w:lineRule="auto"/>
        <w:ind w:firstLine="360"/>
        <w:rPr>
          <w:rFonts w:eastAsia="Arial"/>
          <w:szCs w:val="24"/>
        </w:rPr>
      </w:pPr>
      <w:r w:rsidRPr="0097784F">
        <w:rPr>
          <w:rFonts w:eastAsia="Arial"/>
          <w:szCs w:val="24"/>
        </w:rPr>
        <w:t>Part V</w:t>
      </w:r>
      <w:r w:rsidR="003D2405">
        <w:rPr>
          <w:rFonts w:eastAsia="Arial"/>
          <w:szCs w:val="24"/>
        </w:rPr>
        <w:t>I</w:t>
      </w:r>
      <w:r w:rsidRPr="0097784F">
        <w:rPr>
          <w:rFonts w:eastAsia="Arial"/>
          <w:szCs w:val="24"/>
        </w:rPr>
        <w:t xml:space="preserve"> then </w:t>
      </w:r>
      <w:r w:rsidR="003D2405">
        <w:rPr>
          <w:rFonts w:eastAsia="Arial"/>
          <w:szCs w:val="24"/>
        </w:rPr>
        <w:t xml:space="preserve">briefly explores </w:t>
      </w:r>
      <w:r w:rsidRPr="0097784F">
        <w:rPr>
          <w:rFonts w:eastAsia="Arial"/>
          <w:szCs w:val="24"/>
        </w:rPr>
        <w:t xml:space="preserve">the normative implications of punctuated coalitional theory, including in evaluating the Financial Stability Oversight Council and Consumer Financial Protection Bureau, and on the proposal that crisis-related legislation should include sunset provisions so that the results of legislative experimentation can be assessed and reexamined. This Part also </w:t>
      </w:r>
      <w:r w:rsidRPr="0097784F">
        <w:rPr>
          <w:rFonts w:eastAsia="Arial"/>
          <w:szCs w:val="24"/>
        </w:rPr>
        <w:lastRenderedPageBreak/>
        <w:t xml:space="preserve">notes how the narratives of “grand bargains” and “crisis legislation” can skew incentives of policy entrepreneurs and citizens alike, for better and worse. When political participants assume </w:t>
      </w:r>
      <w:r w:rsidR="0086343B" w:rsidRPr="0097784F">
        <w:rPr>
          <w:rFonts w:eastAsia="Arial"/>
          <w:szCs w:val="24"/>
        </w:rPr>
        <w:t xml:space="preserve">a grand theory of legislative change that does not fit the historical record, reform efforts that don’t conform to those theories </w:t>
      </w:r>
      <w:r w:rsidR="00AB774C" w:rsidRPr="0097784F">
        <w:rPr>
          <w:rFonts w:eastAsia="Arial"/>
          <w:szCs w:val="24"/>
        </w:rPr>
        <w:t>can become delegitimized. This Article seeks to correct that epistemological and historical record.</w:t>
      </w:r>
    </w:p>
    <w:p w14:paraId="2D99C56F" w14:textId="3EBF7316" w:rsidR="00940722" w:rsidRPr="0097784F" w:rsidRDefault="00940722" w:rsidP="00940722">
      <w:pPr>
        <w:pStyle w:val="Heading1"/>
        <w:spacing w:line="240" w:lineRule="auto"/>
        <w:rPr>
          <w:szCs w:val="24"/>
        </w:rPr>
      </w:pPr>
      <w:r w:rsidRPr="0097784F">
        <w:rPr>
          <w:szCs w:val="24"/>
        </w:rPr>
        <w:t xml:space="preserve">Theories of Financial Legislation: </w:t>
      </w:r>
      <w:r w:rsidR="00AA1701" w:rsidRPr="0097784F">
        <w:rPr>
          <w:szCs w:val="24"/>
        </w:rPr>
        <w:t>Coalitions, Crises</w:t>
      </w:r>
      <w:r w:rsidRPr="0097784F">
        <w:rPr>
          <w:szCs w:val="24"/>
        </w:rPr>
        <w:t xml:space="preserve">, Bargains, and the Panda’s Thumb </w:t>
      </w:r>
    </w:p>
    <w:p w14:paraId="7F37FAE1" w14:textId="5DDFFD3C" w:rsidR="00940722" w:rsidRPr="0097784F" w:rsidRDefault="00940722" w:rsidP="00940722">
      <w:pPr>
        <w:tabs>
          <w:tab w:val="left" w:pos="360"/>
        </w:tabs>
        <w:spacing w:line="240" w:lineRule="auto"/>
        <w:ind w:firstLine="720"/>
        <w:rPr>
          <w:rFonts w:eastAsia="Arial"/>
          <w:szCs w:val="24"/>
        </w:rPr>
      </w:pPr>
      <w:r w:rsidRPr="0097784F">
        <w:rPr>
          <w:rFonts w:eastAsia="Arial"/>
          <w:szCs w:val="24"/>
        </w:rPr>
        <w:t xml:space="preserve">There are three major groups of theories that seek to explain why </w:t>
      </w:r>
      <w:r w:rsidR="00300B08" w:rsidRPr="0097784F">
        <w:rPr>
          <w:rFonts w:eastAsia="Arial"/>
          <w:szCs w:val="24"/>
        </w:rPr>
        <w:t xml:space="preserve">and how </w:t>
      </w:r>
      <w:r w:rsidRPr="0097784F">
        <w:rPr>
          <w:rFonts w:eastAsia="Arial"/>
          <w:szCs w:val="24"/>
        </w:rPr>
        <w:t>Congress acts</w:t>
      </w:r>
      <w:r w:rsidR="00300B08" w:rsidRPr="0097784F">
        <w:rPr>
          <w:rFonts w:eastAsia="Arial"/>
          <w:szCs w:val="24"/>
        </w:rPr>
        <w:t>, as relevant for this Article’s discussion of punctuated coalitions</w:t>
      </w:r>
      <w:r w:rsidRPr="0097784F">
        <w:rPr>
          <w:rFonts w:eastAsia="Arial"/>
          <w:szCs w:val="24"/>
        </w:rPr>
        <w:t xml:space="preserve">. They are: (1) the </w:t>
      </w:r>
      <w:r w:rsidR="00AB774C" w:rsidRPr="0097784F">
        <w:rPr>
          <w:rFonts w:eastAsia="Arial"/>
          <w:szCs w:val="24"/>
        </w:rPr>
        <w:t>role</w:t>
      </w:r>
      <w:r w:rsidRPr="0097784F">
        <w:rPr>
          <w:rFonts w:eastAsia="Arial"/>
          <w:szCs w:val="24"/>
        </w:rPr>
        <w:t xml:space="preserve"> of policy entrepreneurs and their connection</w:t>
      </w:r>
      <w:r w:rsidR="00AB774C" w:rsidRPr="0097784F">
        <w:rPr>
          <w:rFonts w:eastAsia="Arial"/>
          <w:szCs w:val="24"/>
        </w:rPr>
        <w:t xml:space="preserve">, through legislative coalitions, to the passage of law; </w:t>
      </w:r>
      <w:r w:rsidRPr="0097784F">
        <w:rPr>
          <w:rFonts w:eastAsia="Arial"/>
          <w:szCs w:val="24"/>
        </w:rPr>
        <w:t xml:space="preserve">(2) the </w:t>
      </w:r>
      <w:r w:rsidR="00AB774C" w:rsidRPr="0097784F">
        <w:rPr>
          <w:rFonts w:eastAsia="Arial"/>
          <w:szCs w:val="24"/>
        </w:rPr>
        <w:t xml:space="preserve">banking-specific idea that U.S. banking history is a product of a “bargain” between incumbent bankers and populist activists; and (3) that major financial legislation occurs as an (over)reaction to financial crises, what we call the “crisis reaction hypothesis”. </w:t>
      </w:r>
      <w:r w:rsidRPr="0097784F">
        <w:rPr>
          <w:rFonts w:eastAsia="Arial"/>
          <w:szCs w:val="24"/>
        </w:rPr>
        <w:t xml:space="preserve">This Part discusses the strengths and weaknesses of each of these and then, building on </w:t>
      </w:r>
      <w:r w:rsidR="00AB774C" w:rsidRPr="0097784F">
        <w:rPr>
          <w:rFonts w:eastAsia="Arial"/>
          <w:szCs w:val="24"/>
        </w:rPr>
        <w:t>all three</w:t>
      </w:r>
      <w:r w:rsidRPr="0097784F">
        <w:rPr>
          <w:rFonts w:eastAsia="Arial"/>
          <w:szCs w:val="24"/>
        </w:rPr>
        <w:t>, describes the punctuated coalitional approach that</w:t>
      </w:r>
      <w:r w:rsidR="00AB774C" w:rsidRPr="0097784F">
        <w:rPr>
          <w:rFonts w:eastAsia="Arial"/>
          <w:szCs w:val="24"/>
        </w:rPr>
        <w:t xml:space="preserve"> best </w:t>
      </w:r>
      <w:r w:rsidRPr="0097784F">
        <w:rPr>
          <w:rFonts w:eastAsia="Arial"/>
          <w:szCs w:val="24"/>
        </w:rPr>
        <w:t xml:space="preserve">captures the complexities of U.S. financial legislative history.  </w:t>
      </w:r>
    </w:p>
    <w:p w14:paraId="21A0757D" w14:textId="56234635" w:rsidR="00940722" w:rsidRPr="0097784F" w:rsidRDefault="00940722" w:rsidP="00940722">
      <w:pPr>
        <w:pStyle w:val="Heading2"/>
        <w:tabs>
          <w:tab w:val="left" w:pos="360"/>
        </w:tabs>
        <w:rPr>
          <w:szCs w:val="24"/>
        </w:rPr>
      </w:pPr>
      <w:r w:rsidRPr="0097784F">
        <w:rPr>
          <w:szCs w:val="24"/>
        </w:rPr>
        <w:t xml:space="preserve">Congress and </w:t>
      </w:r>
      <w:r w:rsidR="00271F6C" w:rsidRPr="0097784F">
        <w:rPr>
          <w:szCs w:val="24"/>
        </w:rPr>
        <w:t>Coalitions</w:t>
      </w:r>
      <w:r w:rsidR="00300B08" w:rsidRPr="0097784F">
        <w:rPr>
          <w:rStyle w:val="FootnoteReference"/>
          <w:rFonts w:ascii="Garamond" w:hAnsi="Garamond"/>
          <w:szCs w:val="24"/>
        </w:rPr>
        <w:footnoteReference w:id="27"/>
      </w:r>
      <w:r w:rsidRPr="0097784F">
        <w:rPr>
          <w:szCs w:val="24"/>
        </w:rPr>
        <w:t xml:space="preserve"> </w:t>
      </w:r>
      <w:r w:rsidR="00F565A5" w:rsidRPr="0097784F">
        <w:rPr>
          <w:szCs w:val="24"/>
        </w:rPr>
        <w:t xml:space="preserve"> </w:t>
      </w:r>
    </w:p>
    <w:p w14:paraId="70E61F72" w14:textId="59C5A55E" w:rsidR="00271F6C" w:rsidRPr="0097784F" w:rsidRDefault="00271F6C" w:rsidP="00271F6C">
      <w:pPr>
        <w:pStyle w:val="Heading3"/>
        <w:rPr>
          <w:rFonts w:cs="Times New Roman"/>
          <w:szCs w:val="24"/>
        </w:rPr>
      </w:pPr>
      <w:r w:rsidRPr="0097784F">
        <w:rPr>
          <w:rFonts w:cs="Times New Roman"/>
          <w:szCs w:val="24"/>
        </w:rPr>
        <w:t>Politicians and Election Sensitivity</w:t>
      </w:r>
    </w:p>
    <w:p w14:paraId="6695BE8F" w14:textId="22494B9A" w:rsidR="002949EA" w:rsidRPr="0097784F" w:rsidRDefault="00300B08" w:rsidP="002949EA">
      <w:pPr>
        <w:tabs>
          <w:tab w:val="left" w:pos="360"/>
        </w:tabs>
        <w:spacing w:line="240" w:lineRule="auto"/>
        <w:ind w:firstLine="720"/>
        <w:rPr>
          <w:rFonts w:eastAsia="Arial"/>
          <w:szCs w:val="24"/>
        </w:rPr>
      </w:pPr>
      <w:r w:rsidRPr="0097784F">
        <w:rPr>
          <w:rFonts w:eastAsia="Arial"/>
          <w:szCs w:val="24"/>
        </w:rPr>
        <w:t xml:space="preserve">A foundational principle of political science is that politicians who face electoral pressures react to the those pressures as they perceive them. Legislative change thus arises through the mechanism of electoral pressure, with the election as the pivotal moment of potential and realized pressure. </w:t>
      </w:r>
      <w:r w:rsidR="002716DE" w:rsidRPr="0097784F">
        <w:rPr>
          <w:rFonts w:eastAsia="Arial"/>
          <w:szCs w:val="24"/>
        </w:rPr>
        <w:t xml:space="preserve">Politicians’ utility </w:t>
      </w:r>
      <w:r w:rsidR="002716DE" w:rsidRPr="0097784F">
        <w:rPr>
          <w:rFonts w:eastAsia="Arial"/>
          <w:szCs w:val="24"/>
        </w:rPr>
        <w:lastRenderedPageBreak/>
        <w:t>function thus becomes one of maximizing positive electoral outcomes.</w:t>
      </w:r>
      <w:r w:rsidR="002716DE" w:rsidRPr="0097784F">
        <w:rPr>
          <w:rStyle w:val="FootnoteReference"/>
          <w:rFonts w:ascii="Garamond" w:eastAsia="Arial" w:hAnsi="Garamond"/>
          <w:szCs w:val="24"/>
        </w:rPr>
        <w:footnoteReference w:id="28"/>
      </w:r>
      <w:r w:rsidR="002716DE" w:rsidRPr="0097784F">
        <w:rPr>
          <w:rFonts w:eastAsia="Arial"/>
          <w:szCs w:val="24"/>
        </w:rPr>
        <w:t xml:space="preserve"> </w:t>
      </w:r>
      <w:r w:rsidR="002949EA" w:rsidRPr="0097784F">
        <w:rPr>
          <w:rFonts w:eastAsia="Arial"/>
          <w:szCs w:val="24"/>
        </w:rPr>
        <w:t>While there are some voices in political science that register dissenting notes on this view,</w:t>
      </w:r>
      <w:r w:rsidR="002949EA" w:rsidRPr="0097784F">
        <w:rPr>
          <w:rFonts w:eastAsia="Arial"/>
          <w:szCs w:val="24"/>
          <w:vertAlign w:val="superscript"/>
        </w:rPr>
        <w:footnoteReference w:id="29"/>
      </w:r>
      <w:r w:rsidR="002949EA" w:rsidRPr="0097784F">
        <w:rPr>
          <w:rFonts w:eastAsia="Arial"/>
          <w:szCs w:val="24"/>
        </w:rPr>
        <w:t xml:space="preserve"> it is close to universal assumption among political scientists writing within traditions of representative democracy. </w:t>
      </w:r>
    </w:p>
    <w:p w14:paraId="23C7F7AE" w14:textId="7A06C2C5" w:rsidR="00940722" w:rsidRPr="0097784F" w:rsidRDefault="002716DE" w:rsidP="002716DE">
      <w:pPr>
        <w:tabs>
          <w:tab w:val="left" w:pos="360"/>
        </w:tabs>
        <w:spacing w:line="240" w:lineRule="auto"/>
        <w:ind w:firstLine="720"/>
        <w:rPr>
          <w:rFonts w:eastAsia="Arial"/>
          <w:szCs w:val="24"/>
        </w:rPr>
      </w:pPr>
      <w:r w:rsidRPr="0097784F">
        <w:rPr>
          <w:rFonts w:eastAsia="Arial"/>
          <w:szCs w:val="24"/>
        </w:rPr>
        <w:t>The near-universal acceptance of the election-centric view does not obviate its explanatory power. Elections function as an act of “delegation,” and help to explain why some kinds of legislative enactments—those with wide geographic benefits for example—find relative ease in adoption, and why others do not.</w:t>
      </w:r>
      <w:r w:rsidRPr="0097784F">
        <w:rPr>
          <w:rFonts w:eastAsia="Arial"/>
          <w:szCs w:val="24"/>
          <w:vertAlign w:val="superscript"/>
        </w:rPr>
        <w:footnoteReference w:id="30"/>
      </w:r>
      <w:r w:rsidRPr="0097784F">
        <w:rPr>
          <w:rFonts w:eastAsia="Arial"/>
          <w:szCs w:val="24"/>
        </w:rPr>
        <w:t xml:space="preserve"> </w:t>
      </w:r>
      <w:r w:rsidR="00300B08" w:rsidRPr="0097784F">
        <w:rPr>
          <w:rFonts w:eastAsia="Arial"/>
          <w:szCs w:val="24"/>
        </w:rPr>
        <w:t xml:space="preserve"> </w:t>
      </w:r>
    </w:p>
    <w:p w14:paraId="1DED68A3" w14:textId="77777777" w:rsidR="00271F6C" w:rsidRPr="0097784F" w:rsidRDefault="00271F6C" w:rsidP="00271F6C">
      <w:pPr>
        <w:tabs>
          <w:tab w:val="left" w:pos="360"/>
        </w:tabs>
        <w:spacing w:line="240" w:lineRule="auto"/>
        <w:ind w:firstLine="720"/>
        <w:rPr>
          <w:rFonts w:eastAsia="Arial"/>
          <w:szCs w:val="24"/>
        </w:rPr>
      </w:pPr>
      <w:r w:rsidRPr="0097784F">
        <w:rPr>
          <w:rFonts w:eastAsia="Arial"/>
          <w:szCs w:val="24"/>
        </w:rPr>
        <w:t xml:space="preserve">Punctuated coalition theory draws amply from the literatures built on the election-sensitivity model. Most importantly, we understand better the lack of durability of </w:t>
      </w:r>
      <w:r w:rsidRPr="0097784F">
        <w:rPr>
          <w:rFonts w:eastAsia="Arial"/>
          <w:i/>
          <w:szCs w:val="24"/>
        </w:rPr>
        <w:t>legislative</w:t>
      </w:r>
      <w:r w:rsidRPr="0097784F">
        <w:rPr>
          <w:rFonts w:eastAsia="Arial"/>
          <w:szCs w:val="24"/>
        </w:rPr>
        <w:t xml:space="preserve"> coalitions—as opposed to issue-based or party political coalitions, which are much less sensitive to destabilizing, random events. As Douglas Arnold described his application of election sensitivity, legislative coalitions and their proposals “must survive a long series of majoritarian tests—in committees and subcommittees; in House and Senate; and in authorization, appropriations, and budget bills.”</w:t>
      </w:r>
      <w:r w:rsidRPr="0097784F">
        <w:rPr>
          <w:rFonts w:eastAsia="Arial"/>
          <w:szCs w:val="24"/>
          <w:vertAlign w:val="superscript"/>
        </w:rPr>
        <w:footnoteReference w:id="31"/>
      </w:r>
      <w:r w:rsidRPr="0097784F">
        <w:rPr>
          <w:rFonts w:eastAsia="Arial"/>
          <w:szCs w:val="24"/>
        </w:rPr>
        <w:t xml:space="preserve"> Arnold sees this reality as indicative of the need for broad legislative coalitions, including when those coalitions include strange bedfellows. We see it also as evidence of the depth of randomness of the legislative process. Every legislative achievement rises or falls on the existence (or absence) of marginal events. Coalitional leaders inside and outside of Congress must strategize in anticipation of and in reaction to these events, but cannot predict </w:t>
      </w:r>
    </w:p>
    <w:p w14:paraId="5B24B6D8" w14:textId="6BDADE04" w:rsidR="00271F6C" w:rsidRPr="0097784F" w:rsidRDefault="00271F6C" w:rsidP="00271F6C">
      <w:pPr>
        <w:tabs>
          <w:tab w:val="left" w:pos="360"/>
        </w:tabs>
        <w:spacing w:line="240" w:lineRule="auto"/>
        <w:rPr>
          <w:rFonts w:eastAsia="Arial"/>
          <w:szCs w:val="24"/>
        </w:rPr>
      </w:pPr>
      <w:r w:rsidRPr="0097784F">
        <w:rPr>
          <w:rFonts w:eastAsia="Arial"/>
          <w:szCs w:val="24"/>
        </w:rPr>
        <w:t xml:space="preserve">them. </w:t>
      </w:r>
    </w:p>
    <w:p w14:paraId="706AF8A6" w14:textId="6E2E543C" w:rsidR="00271F6C" w:rsidRPr="00B11B84" w:rsidRDefault="00271F6C" w:rsidP="00B11B84">
      <w:pPr>
        <w:pStyle w:val="Heading3"/>
        <w:rPr>
          <w:rFonts w:cs="Times New Roman"/>
          <w:szCs w:val="24"/>
        </w:rPr>
      </w:pPr>
      <w:r w:rsidRPr="0097784F">
        <w:rPr>
          <w:rFonts w:cs="Times New Roman"/>
          <w:szCs w:val="24"/>
        </w:rPr>
        <w:lastRenderedPageBreak/>
        <w:t>The Garbage Can Model of Public Policy</w:t>
      </w:r>
    </w:p>
    <w:p w14:paraId="3D0D55C5" w14:textId="77777777" w:rsidR="000760AF" w:rsidRPr="0097784F" w:rsidRDefault="00902005" w:rsidP="00C33830">
      <w:pPr>
        <w:keepNext/>
        <w:keepLines/>
        <w:tabs>
          <w:tab w:val="left" w:pos="360"/>
        </w:tabs>
        <w:spacing w:line="240" w:lineRule="auto"/>
        <w:ind w:firstLine="360"/>
        <w:rPr>
          <w:rFonts w:eastAsia="Arial"/>
          <w:szCs w:val="24"/>
        </w:rPr>
      </w:pPr>
      <w:r w:rsidRPr="0097784F">
        <w:rPr>
          <w:rFonts w:eastAsia="Arial"/>
          <w:szCs w:val="24"/>
        </w:rPr>
        <w:t xml:space="preserve">As rich as the electoral-incentive account is, </w:t>
      </w:r>
      <w:r w:rsidR="0027592E" w:rsidRPr="0097784F">
        <w:rPr>
          <w:rFonts w:eastAsia="Arial"/>
          <w:szCs w:val="24"/>
        </w:rPr>
        <w:t xml:space="preserve">it is </w:t>
      </w:r>
      <w:r w:rsidRPr="0097784F">
        <w:rPr>
          <w:rFonts w:eastAsia="Arial"/>
          <w:szCs w:val="24"/>
        </w:rPr>
        <w:t>in an important sense question-begging. If politicians are motivated by winning elections, what motivates the electorate</w:t>
      </w:r>
      <w:r w:rsidR="0027592E" w:rsidRPr="0097784F">
        <w:rPr>
          <w:rFonts w:eastAsia="Arial"/>
          <w:szCs w:val="24"/>
        </w:rPr>
        <w:t xml:space="preserve">? We discussed in the introduction the importance of policy entrepreneurs in this discussion, a concept to which we will return later in this Part and throughout the Article. But the deeper mechanism that connects policy entrepreneurs </w:t>
      </w:r>
      <w:r w:rsidR="000760AF" w:rsidRPr="0097784F">
        <w:rPr>
          <w:rFonts w:eastAsia="Arial"/>
          <w:szCs w:val="24"/>
        </w:rPr>
        <w:t xml:space="preserve">to the issues of the day and on through to legislative outcomes is the question at stake, not just the existence of ideas in the ether. </w:t>
      </w:r>
    </w:p>
    <w:p w14:paraId="26CDC985" w14:textId="37E40E53" w:rsidR="00902005" w:rsidRPr="0097784F" w:rsidRDefault="000760AF" w:rsidP="00C33830">
      <w:pPr>
        <w:tabs>
          <w:tab w:val="left" w:pos="360"/>
        </w:tabs>
        <w:spacing w:line="240" w:lineRule="auto"/>
        <w:ind w:firstLine="360"/>
        <w:rPr>
          <w:rFonts w:eastAsia="Arial"/>
          <w:szCs w:val="24"/>
        </w:rPr>
      </w:pPr>
      <w:r w:rsidRPr="0097784F">
        <w:rPr>
          <w:rFonts w:eastAsia="Arial"/>
          <w:szCs w:val="24"/>
        </w:rPr>
        <w:t>One of the most prominent explanations of this phenomenon, and one that retains a close connection to the underlying randomness of political and social events, is the so-called “garbage can model” of public policy.</w:t>
      </w:r>
      <w:r w:rsidR="00902005" w:rsidRPr="0097784F">
        <w:rPr>
          <w:rFonts w:eastAsia="Arial"/>
          <w:szCs w:val="24"/>
        </w:rPr>
        <w:t xml:space="preserve"> </w:t>
      </w:r>
      <w:r w:rsidRPr="0097784F">
        <w:rPr>
          <w:rFonts w:eastAsia="Arial"/>
          <w:szCs w:val="24"/>
        </w:rPr>
        <w:t>Under that model, the government is described as an “organized anarchy,” a label that gives space to the attempts that governments—politicians and bureaucrats alike—exert to impose order on chaos through “problematic preferences,” “unclear technologies,” and “fluid participation.”</w:t>
      </w:r>
      <w:r w:rsidRPr="0097784F">
        <w:rPr>
          <w:rFonts w:eastAsia="Arial"/>
          <w:szCs w:val="24"/>
          <w:vertAlign w:val="superscript"/>
        </w:rPr>
        <w:t xml:space="preserve"> </w:t>
      </w:r>
      <w:r w:rsidRPr="0097784F">
        <w:rPr>
          <w:rFonts w:eastAsia="Arial"/>
          <w:szCs w:val="24"/>
          <w:vertAlign w:val="superscript"/>
        </w:rPr>
        <w:footnoteReference w:id="32"/>
      </w:r>
      <w:r w:rsidRPr="0097784F">
        <w:rPr>
          <w:rFonts w:eastAsia="Arial"/>
          <w:szCs w:val="24"/>
        </w:rPr>
        <w:t xml:space="preserve"> . At any given moment, the public policy agenda—in any part of government—consists of a “garbage can into which various kinds of problems and solutions are dumped by participants as they are generated.”</w:t>
      </w:r>
      <w:r w:rsidRPr="0097784F">
        <w:rPr>
          <w:rStyle w:val="FootnoteReference"/>
          <w:rFonts w:ascii="Garamond" w:eastAsia="Arial" w:hAnsi="Garamond"/>
          <w:szCs w:val="24"/>
        </w:rPr>
        <w:footnoteReference w:id="33"/>
      </w:r>
      <w:r w:rsidR="00031A4F" w:rsidRPr="0097784F">
        <w:rPr>
          <w:rFonts w:eastAsia="Arial"/>
          <w:szCs w:val="24"/>
        </w:rPr>
        <w:t xml:space="preserve"> The garbage can model thus produces a way to analyze policy decisions not as a process that begins with “the generation of decision alternatives, then to an examination of their consequences, then to an evaluation of those consequences in terms of objectives, and finally to a decision,” this process is rarely—perhaps never—an accurate description of the legislative process.</w:t>
      </w:r>
      <w:r w:rsidR="00031A4F" w:rsidRPr="0097784F">
        <w:rPr>
          <w:rStyle w:val="FootnoteReference"/>
          <w:rFonts w:ascii="Garamond" w:eastAsia="Arial" w:hAnsi="Garamond"/>
          <w:szCs w:val="24"/>
        </w:rPr>
        <w:footnoteReference w:id="34"/>
      </w:r>
    </w:p>
    <w:p w14:paraId="43065EF1" w14:textId="0F5FDDE8" w:rsidR="002C43D0" w:rsidRPr="0097784F" w:rsidRDefault="002C43D0" w:rsidP="00C33830">
      <w:pPr>
        <w:tabs>
          <w:tab w:val="left" w:pos="360"/>
        </w:tabs>
        <w:spacing w:line="240" w:lineRule="auto"/>
        <w:ind w:firstLine="360"/>
        <w:rPr>
          <w:rFonts w:eastAsia="Arial"/>
          <w:szCs w:val="24"/>
        </w:rPr>
      </w:pPr>
      <w:r w:rsidRPr="0097784F">
        <w:rPr>
          <w:rFonts w:eastAsia="Arial"/>
          <w:szCs w:val="24"/>
        </w:rPr>
        <w:t>The garbage can model makes no such assumptions. In that model, a policy outcome—in our case, legislation—“is an outcome or interpretation of several relatively independent streams within an organization.”</w:t>
      </w:r>
      <w:r w:rsidRPr="0097784F">
        <w:rPr>
          <w:rStyle w:val="FootnoteReference"/>
          <w:rFonts w:ascii="Garamond" w:eastAsia="Arial" w:hAnsi="Garamond"/>
          <w:szCs w:val="24"/>
        </w:rPr>
        <w:footnoteReference w:id="35"/>
      </w:r>
      <w:r w:rsidR="00AE7112" w:rsidRPr="0097784F">
        <w:rPr>
          <w:rFonts w:eastAsia="Arial"/>
          <w:szCs w:val="24"/>
        </w:rPr>
        <w:t xml:space="preserve"> As Kingdon developed the theory, the most relevant “streams” for influencing policy outcomes</w:t>
      </w:r>
      <w:r w:rsidR="00F5273F" w:rsidRPr="0097784F">
        <w:rPr>
          <w:rFonts w:eastAsia="Arial"/>
          <w:szCs w:val="24"/>
        </w:rPr>
        <w:t xml:space="preserve"> are the </w:t>
      </w:r>
      <w:r w:rsidR="00F5273F" w:rsidRPr="0097784F">
        <w:rPr>
          <w:rFonts w:eastAsia="Arial"/>
          <w:szCs w:val="24"/>
        </w:rPr>
        <w:lastRenderedPageBreak/>
        <w:t>“problem stream,” the “political stream,” and the “policy stream.”</w:t>
      </w:r>
      <w:r w:rsidR="00F5273F" w:rsidRPr="0097784F">
        <w:rPr>
          <w:rStyle w:val="FootnoteReference"/>
          <w:rFonts w:ascii="Garamond" w:eastAsia="Arial" w:hAnsi="Garamond"/>
          <w:szCs w:val="24"/>
        </w:rPr>
        <w:footnoteReference w:id="36"/>
      </w:r>
      <w:r w:rsidR="00F5273F" w:rsidRPr="0097784F">
        <w:rPr>
          <w:rFonts w:eastAsia="Arial"/>
          <w:szCs w:val="24"/>
        </w:rPr>
        <w:t xml:space="preserve"> The problem stream consists of the identification of the specific policy problems that need resolution, including by those with vested interests in the articulation of those problems. The political stream attends to the electoral elements of specific problems and solutions. And the policy stream involves the process of </w:t>
      </w:r>
      <w:r w:rsidR="00F5273F" w:rsidRPr="0097784F">
        <w:rPr>
          <w:rFonts w:eastAsia="Arial"/>
          <w:i/>
          <w:szCs w:val="24"/>
        </w:rPr>
        <w:t>how</w:t>
      </w:r>
      <w:r w:rsidR="00F5273F" w:rsidRPr="0097784F">
        <w:rPr>
          <w:rFonts w:eastAsia="Arial"/>
          <w:szCs w:val="24"/>
        </w:rPr>
        <w:t xml:space="preserve"> and </w:t>
      </w:r>
      <w:r w:rsidR="00F5273F" w:rsidRPr="0097784F">
        <w:rPr>
          <w:rFonts w:eastAsia="Arial"/>
          <w:i/>
          <w:szCs w:val="24"/>
        </w:rPr>
        <w:t>by whom</w:t>
      </w:r>
      <w:r w:rsidR="00F5273F" w:rsidRPr="0097784F">
        <w:rPr>
          <w:rFonts w:eastAsia="Arial"/>
          <w:szCs w:val="24"/>
        </w:rPr>
        <w:t xml:space="preserve"> specific solutions are adopted. </w:t>
      </w:r>
    </w:p>
    <w:p w14:paraId="446B9ED2" w14:textId="686DC97C" w:rsidR="00AE7112" w:rsidRPr="0097784F" w:rsidRDefault="00F5273F" w:rsidP="00C33830">
      <w:pPr>
        <w:tabs>
          <w:tab w:val="left" w:pos="360"/>
        </w:tabs>
        <w:spacing w:line="240" w:lineRule="auto"/>
        <w:ind w:firstLine="360"/>
        <w:rPr>
          <w:rFonts w:eastAsia="Arial"/>
          <w:szCs w:val="24"/>
        </w:rPr>
      </w:pPr>
      <w:r w:rsidRPr="0097784F">
        <w:rPr>
          <w:rFonts w:eastAsia="Arial"/>
          <w:szCs w:val="24"/>
        </w:rPr>
        <w:t xml:space="preserve">While the garbage can model has been influential in management and in political science, legal scholars </w:t>
      </w:r>
      <w:r w:rsidR="00AE7112" w:rsidRPr="0097784F">
        <w:rPr>
          <w:rFonts w:eastAsia="Arial"/>
          <w:szCs w:val="24"/>
        </w:rPr>
        <w:t>have made mostly just passing references to it.</w:t>
      </w:r>
      <w:r w:rsidR="00AE7112" w:rsidRPr="0097784F">
        <w:rPr>
          <w:rStyle w:val="FootnoteReference"/>
          <w:rFonts w:ascii="Garamond" w:eastAsia="Arial" w:hAnsi="Garamond"/>
          <w:szCs w:val="24"/>
        </w:rPr>
        <w:footnoteReference w:id="37"/>
      </w:r>
      <w:r w:rsidRPr="0097784F">
        <w:rPr>
          <w:rFonts w:eastAsia="Arial"/>
          <w:szCs w:val="24"/>
        </w:rPr>
        <w:t xml:space="preserve"> Punctuated coalitional theory is deeply rooted in it, particularly at the intersection of the randomness of the way the “garbage” gets taken in and out of the </w:t>
      </w:r>
      <w:r w:rsidR="00CF0DA6" w:rsidRPr="0097784F">
        <w:rPr>
          <w:rFonts w:eastAsia="Arial"/>
          <w:szCs w:val="24"/>
        </w:rPr>
        <w:t xml:space="preserve">can and in the coalitions that must support the various streams that Kingdon identifies. </w:t>
      </w:r>
    </w:p>
    <w:p w14:paraId="1B3A164C" w14:textId="16C0BCC7" w:rsidR="00031A4F" w:rsidRPr="0097784F" w:rsidRDefault="00CF0DA6" w:rsidP="00C33830">
      <w:pPr>
        <w:tabs>
          <w:tab w:val="left" w:pos="360"/>
        </w:tabs>
        <w:spacing w:line="240" w:lineRule="auto"/>
        <w:ind w:firstLine="360"/>
        <w:rPr>
          <w:rFonts w:eastAsia="Arial"/>
          <w:i/>
          <w:szCs w:val="24"/>
        </w:rPr>
      </w:pPr>
      <w:r w:rsidRPr="0097784F">
        <w:rPr>
          <w:rFonts w:eastAsia="Arial"/>
          <w:szCs w:val="24"/>
        </w:rPr>
        <w:t xml:space="preserve">Where punctuated coalitional theory differs is on the very temporariness of legislative coalitions in surviving the various “majoritarian hurdles” that each prospective piece of legislation must survive. </w:t>
      </w:r>
      <w:r w:rsidR="009F2B81" w:rsidRPr="0097784F">
        <w:rPr>
          <w:rFonts w:eastAsia="Arial"/>
          <w:szCs w:val="24"/>
        </w:rPr>
        <w:t>In this sense, the punctuated coalitional theory makes the study of legislation a kind of intellectual history. The focus is on the collision of ideas and circumstances. A theory of legislation must understand both.</w:t>
      </w:r>
    </w:p>
    <w:p w14:paraId="3D102896" w14:textId="77777777" w:rsidR="00940722" w:rsidRPr="0097784F" w:rsidRDefault="00940722" w:rsidP="00940722">
      <w:pPr>
        <w:pStyle w:val="Heading2"/>
        <w:tabs>
          <w:tab w:val="left" w:pos="360"/>
        </w:tabs>
        <w:rPr>
          <w:szCs w:val="24"/>
        </w:rPr>
      </w:pPr>
      <w:r w:rsidRPr="0097784F">
        <w:rPr>
          <w:szCs w:val="24"/>
        </w:rPr>
        <w:t xml:space="preserve">Financial Crises and Financial Legislation </w:t>
      </w:r>
    </w:p>
    <w:p w14:paraId="2FF1E6D3" w14:textId="5C078752" w:rsidR="00940722" w:rsidRPr="0097784F" w:rsidRDefault="00940722" w:rsidP="00940722">
      <w:pPr>
        <w:tabs>
          <w:tab w:val="left" w:pos="360"/>
        </w:tabs>
        <w:spacing w:line="240" w:lineRule="auto"/>
        <w:ind w:firstLine="360"/>
        <w:rPr>
          <w:rFonts w:eastAsia="Arial"/>
          <w:szCs w:val="24"/>
        </w:rPr>
      </w:pPr>
      <w:r w:rsidRPr="0097784F">
        <w:rPr>
          <w:rFonts w:eastAsia="Arial"/>
          <w:szCs w:val="24"/>
        </w:rPr>
        <w:t>In the decade before the 2008 financial crisis, but becoming increasingly prevalent after 2008, scholars hypothesized a link between financial legislation and financial crises</w:t>
      </w:r>
      <w:r w:rsidR="009F2B81" w:rsidRPr="0097784F">
        <w:rPr>
          <w:rFonts w:eastAsia="Arial"/>
          <w:szCs w:val="24"/>
        </w:rPr>
        <w:t xml:space="preserve"> in what we call here the “crisis reaction hypothesis.”</w:t>
      </w:r>
      <w:r w:rsidRPr="0097784F">
        <w:rPr>
          <w:rStyle w:val="FootnoteReference"/>
          <w:rFonts w:ascii="Garamond" w:eastAsia="Arial" w:hAnsi="Garamond"/>
          <w:szCs w:val="24"/>
        </w:rPr>
        <w:footnoteReference w:id="38"/>
      </w:r>
      <w:r w:rsidRPr="0097784F">
        <w:rPr>
          <w:rFonts w:eastAsia="Arial"/>
          <w:szCs w:val="24"/>
        </w:rPr>
        <w:t xml:space="preserve"> </w:t>
      </w:r>
      <w:r w:rsidR="009F2B81" w:rsidRPr="0097784F">
        <w:rPr>
          <w:rFonts w:eastAsia="Arial"/>
          <w:szCs w:val="24"/>
        </w:rPr>
        <w:t xml:space="preserve">Stuart Banner’s foundational work on the rise of securities regulation in the Anglo-American </w:t>
      </w:r>
      <w:r w:rsidR="009F2B81" w:rsidRPr="0097784F">
        <w:rPr>
          <w:rFonts w:eastAsia="Arial"/>
          <w:szCs w:val="24"/>
        </w:rPr>
        <w:lastRenderedPageBreak/>
        <w:t>tradition</w:t>
      </w:r>
      <w:r w:rsidRPr="0097784F">
        <w:rPr>
          <w:rFonts w:eastAsia="Arial"/>
          <w:szCs w:val="24"/>
        </w:rPr>
        <w:t>.</w:t>
      </w:r>
      <w:r w:rsidRPr="0097784F">
        <w:rPr>
          <w:rFonts w:eastAsia="Arial"/>
          <w:szCs w:val="24"/>
          <w:vertAlign w:val="superscript"/>
        </w:rPr>
        <w:footnoteReference w:id="39"/>
      </w:r>
      <w:r w:rsidRPr="0097784F">
        <w:rPr>
          <w:rFonts w:eastAsia="Arial"/>
          <w:szCs w:val="24"/>
        </w:rPr>
        <w:t xml:space="preserve"> Although Banner describe</w:t>
      </w:r>
      <w:r w:rsidR="009F2B81" w:rsidRPr="0097784F">
        <w:rPr>
          <w:rFonts w:eastAsia="Arial"/>
          <w:szCs w:val="24"/>
        </w:rPr>
        <w:t>d</w:t>
      </w:r>
      <w:r w:rsidRPr="0097784F">
        <w:rPr>
          <w:rFonts w:eastAsia="Arial"/>
          <w:szCs w:val="24"/>
        </w:rPr>
        <w:t xml:space="preserve"> the linkage as a “general trend, not an absolute rule,”</w:t>
      </w:r>
      <w:r w:rsidR="009F2B81" w:rsidRPr="0097784F">
        <w:rPr>
          <w:rStyle w:val="FootnoteReference"/>
          <w:rFonts w:ascii="Garamond" w:eastAsia="Arial" w:hAnsi="Garamond"/>
          <w:szCs w:val="24"/>
        </w:rPr>
        <w:footnoteReference w:id="40"/>
      </w:r>
      <w:r w:rsidRPr="0097784F">
        <w:rPr>
          <w:rFonts w:eastAsia="Arial"/>
          <w:szCs w:val="24"/>
        </w:rPr>
        <w:t xml:space="preserve"> he documents in rich detail the intellectual foundations of such regulations frequently date back hundreds of years. </w:t>
      </w:r>
    </w:p>
    <w:p w14:paraId="6E30E871" w14:textId="62A275C2" w:rsidR="00940722" w:rsidRPr="0097784F" w:rsidRDefault="00B601AB" w:rsidP="00940722">
      <w:pPr>
        <w:tabs>
          <w:tab w:val="left" w:pos="360"/>
        </w:tabs>
        <w:spacing w:line="240" w:lineRule="auto"/>
        <w:ind w:firstLine="360"/>
        <w:rPr>
          <w:rFonts w:eastAsia="Arial"/>
          <w:szCs w:val="24"/>
        </w:rPr>
      </w:pPr>
      <w:r w:rsidRPr="0097784F">
        <w:rPr>
          <w:rFonts w:eastAsia="Arial"/>
          <w:szCs w:val="24"/>
        </w:rPr>
        <w:t xml:space="preserve">Roberta Romano expanded on this framework a few years later with one of the most cited articles in corporate law, </w:t>
      </w:r>
      <w:r w:rsidR="00940722" w:rsidRPr="0097784F">
        <w:rPr>
          <w:rFonts w:eastAsia="Arial"/>
          <w:szCs w:val="24"/>
        </w:rPr>
        <w:t>“The Sarbanes-Oxley Act and the Making of Quack Corporate Governance.”</w:t>
      </w:r>
      <w:r w:rsidRPr="0097784F">
        <w:rPr>
          <w:rStyle w:val="FootnoteReference"/>
          <w:rFonts w:ascii="Garamond" w:eastAsia="Arial" w:hAnsi="Garamond"/>
          <w:szCs w:val="24"/>
        </w:rPr>
        <w:footnoteReference w:id="41"/>
      </w:r>
      <w:r w:rsidR="00940722" w:rsidRPr="0097784F">
        <w:rPr>
          <w:rFonts w:eastAsia="Arial"/>
          <w:szCs w:val="24"/>
        </w:rPr>
        <w:t xml:space="preserve"> </w:t>
      </w:r>
      <w:r w:rsidRPr="0097784F">
        <w:rPr>
          <w:rFonts w:eastAsia="Arial"/>
          <w:szCs w:val="24"/>
        </w:rPr>
        <w:t>In it</w:t>
      </w:r>
      <w:r w:rsidR="00940722" w:rsidRPr="0097784F">
        <w:rPr>
          <w:rFonts w:eastAsia="Arial"/>
          <w:szCs w:val="24"/>
        </w:rPr>
        <w:t xml:space="preserve">, Romano </w:t>
      </w:r>
      <w:r w:rsidRPr="0097784F">
        <w:rPr>
          <w:rFonts w:eastAsia="Arial"/>
          <w:szCs w:val="24"/>
        </w:rPr>
        <w:t xml:space="preserve">argued primarily that </w:t>
      </w:r>
      <w:r w:rsidR="00940722" w:rsidRPr="0097784F">
        <w:rPr>
          <w:rFonts w:eastAsia="Arial"/>
          <w:szCs w:val="24"/>
        </w:rPr>
        <w:t>Congress</w:t>
      </w:r>
      <w:r w:rsidRPr="0097784F">
        <w:rPr>
          <w:rFonts w:eastAsia="Arial"/>
          <w:szCs w:val="24"/>
        </w:rPr>
        <w:t xml:space="preserve">, in the passage of the Sarbanes-Oxley Act of 2002, had departed from its previous disclosure-based regime for federal securities law and </w:t>
      </w:r>
      <w:r w:rsidR="000F19CA" w:rsidRPr="0097784F">
        <w:rPr>
          <w:rFonts w:eastAsia="Arial"/>
          <w:szCs w:val="24"/>
        </w:rPr>
        <w:t>entered into the traditional state domain of corporate governance. This entry was, in Romano’s view, a mistake born of haste and by opportunists who sought to take advantage of the “policy windows,” to use Kingdon’s phrase,</w:t>
      </w:r>
      <w:r w:rsidR="000F19CA" w:rsidRPr="0097784F">
        <w:rPr>
          <w:rStyle w:val="FootnoteReference"/>
          <w:rFonts w:ascii="Garamond" w:eastAsia="Arial" w:hAnsi="Garamond"/>
          <w:szCs w:val="24"/>
        </w:rPr>
        <w:footnoteReference w:id="42"/>
      </w:r>
      <w:r w:rsidR="000F19CA" w:rsidRPr="0097784F">
        <w:rPr>
          <w:rFonts w:eastAsia="Arial"/>
          <w:szCs w:val="24"/>
        </w:rPr>
        <w:t xml:space="preserve"> that legislative activity provided. In doing so, </w:t>
      </w:r>
      <w:bookmarkStart w:id="3" w:name="_GoBack"/>
      <w:bookmarkEnd w:id="3"/>
      <w:r w:rsidR="000F19CA" w:rsidRPr="0097784F">
        <w:rPr>
          <w:rFonts w:eastAsia="Arial"/>
          <w:szCs w:val="24"/>
        </w:rPr>
        <w:t>Congress failed to take into account evidence that the innovations in corporate governance that Sarbanes-Oxley represented were not only not responsive to the scandals that prompted congressional action but were in fact harmful to that end. Hence Romano’s damning and influential label, “</w:t>
      </w:r>
      <w:r w:rsidR="00940722" w:rsidRPr="0097784F">
        <w:rPr>
          <w:rFonts w:eastAsia="Arial"/>
          <w:szCs w:val="24"/>
        </w:rPr>
        <w:t xml:space="preserve">quack corporate governance” not  </w:t>
      </w:r>
      <w:r w:rsidR="000F19CA" w:rsidRPr="0097784F">
        <w:rPr>
          <w:rFonts w:eastAsia="Arial"/>
          <w:szCs w:val="24"/>
        </w:rPr>
        <w:t xml:space="preserve">borne </w:t>
      </w:r>
      <w:r w:rsidR="00940722" w:rsidRPr="0097784F">
        <w:rPr>
          <w:rFonts w:eastAsia="Arial"/>
          <w:szCs w:val="24"/>
        </w:rPr>
        <w:t xml:space="preserve">of  “careful  deliberation  by  Congress”  but  </w:t>
      </w:r>
      <w:r w:rsidR="000F19CA" w:rsidRPr="0097784F">
        <w:rPr>
          <w:rFonts w:eastAsia="Arial"/>
          <w:szCs w:val="24"/>
        </w:rPr>
        <w:t xml:space="preserve">as </w:t>
      </w:r>
      <w:r w:rsidR="00940722" w:rsidRPr="0097784F">
        <w:rPr>
          <w:rFonts w:eastAsia="Arial"/>
          <w:szCs w:val="24"/>
        </w:rPr>
        <w:t>“emergency  legislation,  enacted  under conditions  of  limited  legislative  debate,  during  a  media  frenzy.”</w:t>
      </w:r>
      <w:r w:rsidR="00940722" w:rsidRPr="0097784F">
        <w:rPr>
          <w:rStyle w:val="FootnoteReference"/>
          <w:rFonts w:ascii="Garamond" w:eastAsia="Arial" w:hAnsi="Garamond"/>
          <w:szCs w:val="24"/>
        </w:rPr>
        <w:footnoteReference w:id="43"/>
      </w:r>
      <w:r w:rsidR="00940722" w:rsidRPr="0097784F">
        <w:rPr>
          <w:rFonts w:eastAsia="Arial"/>
          <w:szCs w:val="24"/>
        </w:rPr>
        <w:t xml:space="preserve"> Because of the perceived limits on a legislative process under these conditions, Romano recommends that future “emergency financial legislation” passed in the wake of crises include sunset provisions that would allow it to be subject to post-crisis review.</w:t>
      </w:r>
      <w:r w:rsidR="00940722" w:rsidRPr="0097784F">
        <w:rPr>
          <w:rStyle w:val="FootnoteReference"/>
          <w:rFonts w:ascii="Garamond" w:eastAsia="Arial" w:hAnsi="Garamond"/>
          <w:szCs w:val="24"/>
        </w:rPr>
        <w:footnoteReference w:id="44"/>
      </w:r>
      <w:r w:rsidR="00940722" w:rsidRPr="0097784F">
        <w:rPr>
          <w:rFonts w:eastAsia="Arial"/>
          <w:szCs w:val="24"/>
        </w:rPr>
        <w:t xml:space="preserve"> </w:t>
      </w:r>
    </w:p>
    <w:p w14:paraId="6552354E" w14:textId="0990D691" w:rsidR="00940722" w:rsidRPr="0097784F" w:rsidRDefault="00940722" w:rsidP="00940722">
      <w:pPr>
        <w:tabs>
          <w:tab w:val="left" w:pos="360"/>
        </w:tabs>
        <w:spacing w:line="240" w:lineRule="auto"/>
        <w:ind w:firstLine="360"/>
        <w:rPr>
          <w:rFonts w:eastAsia="Arial"/>
          <w:szCs w:val="24"/>
        </w:rPr>
      </w:pPr>
      <w:r w:rsidRPr="0097784F">
        <w:rPr>
          <w:rFonts w:eastAsia="Arial"/>
          <w:szCs w:val="24"/>
        </w:rPr>
        <w:t>Following the 2008 crisis, the literature linking crises to legislation gained even more traction, including from those more sympathetic</w:t>
      </w:r>
      <w:r w:rsidRPr="0097784F">
        <w:rPr>
          <w:rStyle w:val="FootnoteReference"/>
          <w:rFonts w:ascii="Garamond" w:eastAsia="Arial" w:hAnsi="Garamond"/>
          <w:szCs w:val="24"/>
        </w:rPr>
        <w:footnoteReference w:id="45"/>
      </w:r>
      <w:r w:rsidRPr="0097784F">
        <w:rPr>
          <w:rFonts w:eastAsia="Arial"/>
          <w:szCs w:val="24"/>
        </w:rPr>
        <w:t xml:space="preserve"> and less sympathetic</w:t>
      </w:r>
      <w:r w:rsidRPr="0097784F">
        <w:rPr>
          <w:rStyle w:val="FootnoteReference"/>
          <w:rFonts w:ascii="Garamond" w:eastAsia="Arial" w:hAnsi="Garamond"/>
          <w:szCs w:val="24"/>
        </w:rPr>
        <w:footnoteReference w:id="46"/>
      </w:r>
      <w:r w:rsidRPr="0097784F">
        <w:rPr>
          <w:rFonts w:eastAsia="Arial"/>
          <w:szCs w:val="24"/>
        </w:rPr>
        <w:t xml:space="preserve"> to regulatory and legislative </w:t>
      </w:r>
      <w:r w:rsidRPr="0097784F">
        <w:rPr>
          <w:rFonts w:eastAsia="Arial"/>
          <w:szCs w:val="24"/>
        </w:rPr>
        <w:lastRenderedPageBreak/>
        <w:t>aims</w:t>
      </w:r>
      <w:r w:rsidR="00F6056E" w:rsidRPr="0097784F">
        <w:rPr>
          <w:rFonts w:eastAsia="Arial"/>
          <w:szCs w:val="24"/>
        </w:rPr>
        <w:t xml:space="preserve"> undertaken in response to that crisis</w:t>
      </w:r>
      <w:r w:rsidRPr="0097784F">
        <w:rPr>
          <w:rFonts w:eastAsia="Arial"/>
          <w:szCs w:val="24"/>
        </w:rPr>
        <w:t>. Those within the former group feared the burst of legislative activity following crises would wane over time, part of what Gerding calls a “regulatory instability hypothesis.”</w:t>
      </w:r>
      <w:r w:rsidRPr="0097784F">
        <w:rPr>
          <w:rStyle w:val="FootnoteReference"/>
          <w:rFonts w:ascii="Garamond" w:eastAsia="Arial" w:hAnsi="Garamond"/>
          <w:szCs w:val="24"/>
        </w:rPr>
        <w:footnoteReference w:id="47"/>
      </w:r>
      <w:r w:rsidRPr="0097784F">
        <w:rPr>
          <w:rFonts w:eastAsia="Arial"/>
          <w:szCs w:val="24"/>
        </w:rPr>
        <w:t xml:space="preserve"> Those within the latter group view these “bubble acts” as likely to be ill-considered and reflective of the schemes of “policy entrepreneurs,” a term used more skeptically in this literature than as discussed above. Romano, in postcrisis work, expanded the focus from capital markets to financial regulation generally and formulated what she termed the “iron law of financial regulation,” describing the idea this way: </w:t>
      </w:r>
    </w:p>
    <w:p w14:paraId="1DD3CDBA" w14:textId="77777777" w:rsidR="00940722" w:rsidRPr="0097784F" w:rsidRDefault="00940722" w:rsidP="00940722">
      <w:pPr>
        <w:tabs>
          <w:tab w:val="left" w:pos="360"/>
        </w:tabs>
        <w:spacing w:line="240" w:lineRule="auto"/>
        <w:ind w:firstLine="360"/>
        <w:rPr>
          <w:rFonts w:eastAsia="Arial"/>
          <w:szCs w:val="24"/>
        </w:rPr>
      </w:pPr>
    </w:p>
    <w:p w14:paraId="61880A9F" w14:textId="77777777" w:rsidR="00940722" w:rsidRPr="0097784F" w:rsidRDefault="00940722" w:rsidP="009027FC">
      <w:pPr>
        <w:keepNext/>
        <w:tabs>
          <w:tab w:val="left" w:pos="360"/>
        </w:tabs>
        <w:spacing w:line="240" w:lineRule="auto"/>
        <w:ind w:left="605" w:right="590"/>
        <w:rPr>
          <w:szCs w:val="24"/>
        </w:rPr>
      </w:pPr>
      <w:r w:rsidRPr="0097784F">
        <w:rPr>
          <w:szCs w:val="24"/>
        </w:rPr>
        <w:t>(1) Enactment [of financial legislation] is invariably crisis driven, adopted at a time when there is a paucity of information regarding what has transpired; (2) resulting in “off-the-rack” solutions often poorly fashioned to the problem at hand; (3) with inevitable flaws given the dynamic uncertainty of financial markets; (4) but arduous to revise or repeal given the stickiness of the status quo in the U.S. political framework of checks and balances.  The ensuing one-way regulatory ratchet generated by repeated financial crises has produced not only costly policy mistakes accompanied by unintended consequences, but also a regulatory state whose cumulative regulatory impact produces, over time, an increasingly ineffective regulatory apparatus.</w:t>
      </w:r>
      <w:r w:rsidRPr="0097784F">
        <w:rPr>
          <w:rStyle w:val="FootnoteReference"/>
          <w:rFonts w:ascii="Garamond" w:hAnsi="Garamond"/>
          <w:szCs w:val="24"/>
        </w:rPr>
        <w:footnoteReference w:id="48"/>
      </w:r>
    </w:p>
    <w:p w14:paraId="3B0C5C7D" w14:textId="77777777" w:rsidR="00940722" w:rsidRPr="0097784F" w:rsidRDefault="00940722" w:rsidP="00940722">
      <w:pPr>
        <w:tabs>
          <w:tab w:val="left" w:pos="360"/>
        </w:tabs>
        <w:spacing w:line="240" w:lineRule="auto"/>
        <w:rPr>
          <w:rFonts w:eastAsia="Arial"/>
          <w:szCs w:val="24"/>
        </w:rPr>
      </w:pPr>
    </w:p>
    <w:p w14:paraId="1E296D33" w14:textId="77777777" w:rsidR="009027FC" w:rsidRPr="0097784F" w:rsidRDefault="00940722" w:rsidP="00940722">
      <w:pPr>
        <w:tabs>
          <w:tab w:val="left" w:pos="360"/>
        </w:tabs>
        <w:spacing w:line="240" w:lineRule="auto"/>
        <w:rPr>
          <w:rFonts w:eastAsia="Arial"/>
          <w:szCs w:val="24"/>
        </w:rPr>
      </w:pPr>
      <w:r w:rsidRPr="0097784F">
        <w:rPr>
          <w:rFonts w:eastAsia="Arial"/>
          <w:szCs w:val="24"/>
        </w:rPr>
        <w:t>The speed of legislative enactment</w:t>
      </w:r>
      <w:r w:rsidR="009027FC" w:rsidRPr="0097784F">
        <w:rPr>
          <w:rFonts w:eastAsia="Arial"/>
          <w:szCs w:val="24"/>
        </w:rPr>
        <w:t xml:space="preserve"> </w:t>
      </w:r>
      <w:r w:rsidRPr="0097784F">
        <w:rPr>
          <w:rFonts w:eastAsia="Arial"/>
          <w:szCs w:val="24"/>
        </w:rPr>
        <w:t>and proximity to the precedent crisis</w:t>
      </w:r>
      <w:r w:rsidR="009027FC" w:rsidRPr="0097784F">
        <w:rPr>
          <w:rFonts w:eastAsia="Arial"/>
          <w:szCs w:val="24"/>
        </w:rPr>
        <w:t xml:space="preserve">, then, </w:t>
      </w:r>
      <w:r w:rsidRPr="0097784F">
        <w:rPr>
          <w:rFonts w:eastAsia="Arial"/>
          <w:szCs w:val="24"/>
        </w:rPr>
        <w:t>are the twin debilities in these pieces of legislation</w:t>
      </w:r>
      <w:r w:rsidR="009027FC" w:rsidRPr="0097784F">
        <w:rPr>
          <w:rFonts w:eastAsia="Arial"/>
          <w:szCs w:val="24"/>
        </w:rPr>
        <w:t>, hence Romano’s normative charge to revisit any legislation passed in the aftermath of crisis.</w:t>
      </w:r>
      <w:r w:rsidRPr="0097784F">
        <w:rPr>
          <w:rFonts w:eastAsia="Arial"/>
          <w:szCs w:val="24"/>
        </w:rPr>
        <w:t xml:space="preserve"> </w:t>
      </w:r>
    </w:p>
    <w:p w14:paraId="6445025F" w14:textId="3FFB85CE" w:rsidR="00940722" w:rsidRPr="0097784F" w:rsidRDefault="009027FC" w:rsidP="00940722">
      <w:pPr>
        <w:tabs>
          <w:tab w:val="left" w:pos="360"/>
        </w:tabs>
        <w:spacing w:line="240" w:lineRule="auto"/>
        <w:rPr>
          <w:rFonts w:eastAsia="Arial"/>
          <w:szCs w:val="24"/>
        </w:rPr>
      </w:pPr>
      <w:r w:rsidRPr="0097784F">
        <w:rPr>
          <w:rFonts w:eastAsia="Arial"/>
          <w:szCs w:val="24"/>
        </w:rPr>
        <w:tab/>
        <w:t>In other work, Conti-Brown &amp; Ohlrogge seek to assess the strength of crisis reaction hypothesis using novel methods to determine legislative importance and the correlative connection between crises (financial and equity) and legislation (in banking and capital markets).</w:t>
      </w:r>
      <w:r w:rsidR="00AD33A7" w:rsidRPr="0097784F">
        <w:rPr>
          <w:rStyle w:val="FootnoteReference"/>
          <w:rFonts w:ascii="Garamond" w:eastAsia="Arial" w:hAnsi="Garamond"/>
          <w:szCs w:val="24"/>
        </w:rPr>
        <w:footnoteReference w:id="49"/>
      </w:r>
      <w:r w:rsidRPr="0097784F">
        <w:rPr>
          <w:rFonts w:eastAsia="Arial"/>
          <w:szCs w:val="24"/>
        </w:rPr>
        <w:t xml:space="preserve"> For the theory of punctuated coalitions, the </w:t>
      </w:r>
      <w:r w:rsidR="00AD33A7" w:rsidRPr="0097784F">
        <w:rPr>
          <w:rFonts w:eastAsia="Arial"/>
          <w:szCs w:val="24"/>
        </w:rPr>
        <w:lastRenderedPageBreak/>
        <w:t xml:space="preserve">theoretical </w:t>
      </w:r>
      <w:r w:rsidR="00F73416" w:rsidRPr="0097784F">
        <w:rPr>
          <w:rFonts w:eastAsia="Arial"/>
          <w:szCs w:val="24"/>
        </w:rPr>
        <w:t>insight</w:t>
      </w:r>
      <w:r w:rsidR="00AD33A7" w:rsidRPr="0097784F">
        <w:rPr>
          <w:rFonts w:eastAsia="Arial"/>
          <w:szCs w:val="24"/>
        </w:rPr>
        <w:t xml:space="preserve"> is more basic. Financial crises are important random events in bringing temporary legislative coalitions to the policy space, limning the boundaries between the problem, political, and policy streams. But they are not the only ones. Nor are financial crises predictive of the ways that legislative coalitions will respond. For this reason, a crisis reaction hypothesis provides little by way of predictive value for the particulars of a legislative outcome.</w:t>
      </w:r>
      <w:r w:rsidR="00940722" w:rsidRPr="0097784F">
        <w:rPr>
          <w:rFonts w:eastAsia="Arial"/>
          <w:szCs w:val="24"/>
        </w:rPr>
        <w:t xml:space="preserve"> </w:t>
      </w:r>
    </w:p>
    <w:p w14:paraId="0F763B34" w14:textId="77777777" w:rsidR="00AD33A7" w:rsidRPr="0097784F" w:rsidRDefault="00940722" w:rsidP="00AD33A7">
      <w:pPr>
        <w:pStyle w:val="Heading2"/>
        <w:tabs>
          <w:tab w:val="left" w:pos="360"/>
        </w:tabs>
        <w:spacing w:line="240" w:lineRule="auto"/>
        <w:rPr>
          <w:szCs w:val="24"/>
        </w:rPr>
      </w:pPr>
      <w:r w:rsidRPr="0097784F">
        <w:rPr>
          <w:szCs w:val="24"/>
        </w:rPr>
        <w:t xml:space="preserve">The </w:t>
      </w:r>
      <w:r w:rsidR="00AD33A7" w:rsidRPr="0097784F">
        <w:rPr>
          <w:szCs w:val="24"/>
        </w:rPr>
        <w:t xml:space="preserve">Bank </w:t>
      </w:r>
      <w:r w:rsidRPr="0097784F">
        <w:rPr>
          <w:szCs w:val="24"/>
        </w:rPr>
        <w:t>Bargain Theory of Coalitions</w:t>
      </w:r>
    </w:p>
    <w:p w14:paraId="200B2393" w14:textId="77777777" w:rsidR="00B0742E" w:rsidRPr="0097784F" w:rsidRDefault="00AD33A7" w:rsidP="00B0742E">
      <w:pPr>
        <w:ind w:firstLine="90"/>
        <w:rPr>
          <w:szCs w:val="24"/>
        </w:rPr>
      </w:pPr>
      <w:r w:rsidRPr="0097784F">
        <w:rPr>
          <w:szCs w:val="24"/>
        </w:rPr>
        <w:t xml:space="preserve">The last theory that influence a punctuated coalitional view comes is the narrowest. </w:t>
      </w:r>
      <w:r w:rsidR="002B11F5" w:rsidRPr="0097784F">
        <w:rPr>
          <w:szCs w:val="24"/>
        </w:rPr>
        <w:t xml:space="preserve">In </w:t>
      </w:r>
      <w:r w:rsidR="002B11F5" w:rsidRPr="0097784F">
        <w:rPr>
          <w:i/>
          <w:szCs w:val="24"/>
        </w:rPr>
        <w:t>Fragile By Design</w:t>
      </w:r>
      <w:r w:rsidR="002B11F5" w:rsidRPr="0097784F">
        <w:rPr>
          <w:szCs w:val="24"/>
        </w:rPr>
        <w:t>, a pathbreaking book on the structure of political bargaining in financial legislation throughout the world, financial historians Charles Calomiris and Stephen Haber articulate a view about the intrinsically public nature of banking and bank legislation.</w:t>
      </w:r>
      <w:r w:rsidR="002B11F5" w:rsidRPr="0097784F">
        <w:rPr>
          <w:rStyle w:val="FootnoteReference"/>
          <w:rFonts w:ascii="Garamond" w:hAnsi="Garamond"/>
          <w:szCs w:val="24"/>
        </w:rPr>
        <w:footnoteReference w:id="50"/>
      </w:r>
      <w:r w:rsidR="002B11F5" w:rsidRPr="0097784F">
        <w:rPr>
          <w:szCs w:val="24"/>
        </w:rPr>
        <w:t xml:space="preserve"> </w:t>
      </w:r>
      <w:r w:rsidR="00E57F9D" w:rsidRPr="0097784F">
        <w:rPr>
          <w:szCs w:val="24"/>
        </w:rPr>
        <w:t>But the emphasis on the existing models—including whether state systems are more or less prone to macroeconomically-debilitating financial crises—is no accident, not “the result of unforeseen and extraordinary circumstances, like earthquakes and hailstorms.”</w:t>
      </w:r>
      <w:r w:rsidR="00E57F9D" w:rsidRPr="0097784F">
        <w:rPr>
          <w:rStyle w:val="FootnoteReference"/>
          <w:rFonts w:ascii="Garamond" w:hAnsi="Garamond"/>
          <w:szCs w:val="24"/>
        </w:rPr>
        <w:footnoteReference w:id="51"/>
      </w:r>
      <w:r w:rsidR="00E57F9D" w:rsidRPr="0097784F">
        <w:rPr>
          <w:szCs w:val="24"/>
        </w:rPr>
        <w:t xml:space="preserve"> Instead, countries “choose” their banking systems</w:t>
      </w:r>
      <w:r w:rsidR="00B0742E" w:rsidRPr="0097784F">
        <w:rPr>
          <w:szCs w:val="24"/>
        </w:rPr>
        <w:t xml:space="preserve"> by resolving durable conflicts of interest in ways that favor some groups over others. In particular, “democracies whose pol institutions limit the influence of populist coalitions” are much more successful in creating banking systems that mitigate the inherent conflicts of interest that arise as governments and bankers interact. </w:t>
      </w:r>
    </w:p>
    <w:p w14:paraId="7B6D4876" w14:textId="589F0473" w:rsidR="00E57F9D" w:rsidRPr="0097784F" w:rsidRDefault="00B0742E" w:rsidP="00B0742E">
      <w:pPr>
        <w:ind w:firstLine="360"/>
        <w:rPr>
          <w:rFonts w:eastAsia="Arial"/>
          <w:szCs w:val="24"/>
        </w:rPr>
      </w:pPr>
      <w:r w:rsidRPr="0097784F">
        <w:rPr>
          <w:szCs w:val="24"/>
        </w:rPr>
        <w:t>The space for resolving these conflicts of interest is, in Calomiris &amp; Haber’s nomenclature, “the game of bank bargains.</w:t>
      </w:r>
      <w:r w:rsidR="00E57F9D" w:rsidRPr="0097784F">
        <w:rPr>
          <w:rStyle w:val="FootnoteReference"/>
          <w:rFonts w:ascii="Garamond" w:eastAsia="Arial" w:hAnsi="Garamond"/>
          <w:szCs w:val="24"/>
        </w:rPr>
        <w:footnoteReference w:id="52"/>
      </w:r>
      <w:r w:rsidR="00E57F9D" w:rsidRPr="0097784F">
        <w:rPr>
          <w:rFonts w:eastAsia="Arial"/>
          <w:szCs w:val="24"/>
        </w:rPr>
        <w:t xml:space="preserve"> </w:t>
      </w:r>
      <w:r w:rsidRPr="0097784F">
        <w:rPr>
          <w:rFonts w:eastAsia="Arial"/>
          <w:szCs w:val="24"/>
        </w:rPr>
        <w:t>T</w:t>
      </w:r>
      <w:r w:rsidR="00E57F9D" w:rsidRPr="0097784F">
        <w:rPr>
          <w:rFonts w:eastAsia="Arial"/>
          <w:szCs w:val="24"/>
        </w:rPr>
        <w:t xml:space="preserve">he </w:t>
      </w:r>
      <w:r w:rsidR="00E57F9D" w:rsidRPr="0097784F">
        <w:rPr>
          <w:rFonts w:eastAsia="Arial"/>
          <w:szCs w:val="24"/>
        </w:rPr>
        <w:lastRenderedPageBreak/>
        <w:t xml:space="preserve">core of financial legislation </w:t>
      </w:r>
      <w:r w:rsidRPr="0097784F">
        <w:rPr>
          <w:rFonts w:eastAsia="Arial"/>
          <w:szCs w:val="24"/>
        </w:rPr>
        <w:t xml:space="preserve">is the result of an interative negotiation that involves </w:t>
      </w:r>
      <w:r w:rsidR="00E57F9D" w:rsidRPr="0097784F">
        <w:rPr>
          <w:rFonts w:eastAsia="Arial"/>
          <w:szCs w:val="24"/>
        </w:rPr>
        <w:t>“the group in control of the government, bankers, minority shareholders, debtors, and depositors.”</w:t>
      </w:r>
      <w:r w:rsidR="00E57F9D" w:rsidRPr="0097784F">
        <w:rPr>
          <w:rStyle w:val="FootnoteReference"/>
          <w:rFonts w:ascii="Garamond" w:eastAsia="Arial" w:hAnsi="Garamond"/>
          <w:szCs w:val="24"/>
        </w:rPr>
        <w:footnoteReference w:id="53"/>
      </w:r>
      <w:r w:rsidR="00E57F9D" w:rsidRPr="0097784F">
        <w:rPr>
          <w:rFonts w:eastAsia="Arial"/>
          <w:szCs w:val="24"/>
        </w:rPr>
        <w:t xml:space="preserve"> Those groups then tussle in </w:t>
      </w:r>
      <w:r w:rsidRPr="0097784F">
        <w:rPr>
          <w:rFonts w:eastAsia="Arial"/>
          <w:szCs w:val="24"/>
        </w:rPr>
        <w:t xml:space="preserve">the </w:t>
      </w:r>
      <w:r w:rsidR="00E57F9D" w:rsidRPr="0097784F">
        <w:rPr>
          <w:rFonts w:eastAsia="Arial"/>
          <w:szCs w:val="24"/>
        </w:rPr>
        <w:t xml:space="preserve">“game of bank bargains” </w:t>
      </w:r>
      <w:r w:rsidRPr="0097784F">
        <w:rPr>
          <w:rFonts w:eastAsia="Arial"/>
          <w:szCs w:val="24"/>
        </w:rPr>
        <w:t xml:space="preserve">to determine </w:t>
      </w:r>
      <w:r w:rsidR="00E57F9D" w:rsidRPr="0097784F">
        <w:rPr>
          <w:rFonts w:eastAsia="Arial"/>
          <w:szCs w:val="24"/>
        </w:rPr>
        <w:t>“which other groups must be included in the government-banker partnership and which can be left in the out in the cold because the rules of the political system make them powerless.”</w:t>
      </w:r>
      <w:r w:rsidR="00E57F9D" w:rsidRPr="0097784F">
        <w:rPr>
          <w:rStyle w:val="FootnoteReference"/>
          <w:rFonts w:ascii="Garamond" w:eastAsia="Arial" w:hAnsi="Garamond"/>
          <w:szCs w:val="24"/>
        </w:rPr>
        <w:footnoteReference w:id="54"/>
      </w:r>
      <w:r w:rsidR="00E57F9D" w:rsidRPr="0097784F">
        <w:rPr>
          <w:rFonts w:eastAsia="Arial"/>
          <w:szCs w:val="24"/>
        </w:rPr>
        <w:t xml:space="preserve"> </w:t>
      </w:r>
    </w:p>
    <w:p w14:paraId="680AA51D" w14:textId="088BC2DA" w:rsidR="00E57F9D" w:rsidRPr="0097784F" w:rsidRDefault="00B0742E" w:rsidP="00B0742E">
      <w:pPr>
        <w:tabs>
          <w:tab w:val="left" w:pos="360"/>
        </w:tabs>
        <w:spacing w:line="240" w:lineRule="auto"/>
        <w:ind w:firstLine="360"/>
        <w:rPr>
          <w:rFonts w:eastAsia="Arial"/>
          <w:szCs w:val="24"/>
        </w:rPr>
      </w:pPr>
      <w:r w:rsidRPr="0097784F">
        <w:rPr>
          <w:rFonts w:eastAsia="Arial"/>
          <w:szCs w:val="24"/>
        </w:rPr>
        <w:t xml:space="preserve">Of the theories that explain legislation in general and financial legislation in particular, the punctuated coalition theory departs most substantially from Calomiris &amp; Haber. While this Article is similar to </w:t>
      </w:r>
      <w:r w:rsidR="00E57F9D" w:rsidRPr="0097784F">
        <w:rPr>
          <w:rFonts w:eastAsia="Arial"/>
          <w:szCs w:val="24"/>
        </w:rPr>
        <w:t xml:space="preserve">Calomiris &amp; Haber in </w:t>
      </w:r>
      <w:r w:rsidRPr="0097784F">
        <w:rPr>
          <w:rFonts w:eastAsia="Arial"/>
          <w:szCs w:val="24"/>
        </w:rPr>
        <w:t xml:space="preserve">the emphasis of the </w:t>
      </w:r>
      <w:r w:rsidR="00E57F9D" w:rsidRPr="0097784F">
        <w:rPr>
          <w:rFonts w:eastAsia="Arial"/>
          <w:szCs w:val="24"/>
        </w:rPr>
        <w:t>way that shifting political landscapes activate and deactivate different groups with different interests</w:t>
      </w:r>
      <w:r w:rsidRPr="0097784F">
        <w:rPr>
          <w:rFonts w:eastAsia="Arial"/>
          <w:szCs w:val="24"/>
        </w:rPr>
        <w:t xml:space="preserve">, this Article departs from this theory in two key respects. </w:t>
      </w:r>
      <w:r w:rsidR="00E57F9D" w:rsidRPr="0097784F">
        <w:rPr>
          <w:rFonts w:eastAsia="Arial"/>
          <w:szCs w:val="24"/>
        </w:rPr>
        <w:t>First, we reject the notion of “design” that animates much of Calomiris &amp; Haber. The dual phenomena of randomness in legislation and institutional layering that limits the hands of would-be reformers make it so that legislation, even landmark legislation, owes itself to the pressures of the past to a much greater extent than any designer would ever permit. And second, in the case of the United States,</w:t>
      </w:r>
      <w:r w:rsidR="00E57F9D" w:rsidRPr="0097784F">
        <w:rPr>
          <w:rStyle w:val="FootnoteReference"/>
          <w:rFonts w:ascii="Garamond" w:eastAsia="Arial" w:hAnsi="Garamond"/>
          <w:szCs w:val="24"/>
        </w:rPr>
        <w:footnoteReference w:id="55"/>
      </w:r>
      <w:r w:rsidR="00E57F9D" w:rsidRPr="0097784F">
        <w:rPr>
          <w:rFonts w:eastAsia="Arial"/>
          <w:szCs w:val="24"/>
        </w:rPr>
        <w:t xml:space="preserve"> we see a much more fragile and uncertain set of legislative coalitions than they do. The “strange bedfellows” approach to political coalitions that Calomiris &amp; Haber espouse is the correct starting point, but there is much more variation and instability in these coalitions. There is no grand bargain in financial legislation. We are skeptical that there are any grand bargains in American politics at all. </w:t>
      </w:r>
    </w:p>
    <w:p w14:paraId="0176DD29" w14:textId="77777777" w:rsidR="00940722" w:rsidRPr="0097784F" w:rsidRDefault="00940722" w:rsidP="00940722">
      <w:pPr>
        <w:rPr>
          <w:szCs w:val="24"/>
        </w:rPr>
      </w:pPr>
    </w:p>
    <w:p w14:paraId="480F0EF0" w14:textId="77777777" w:rsidR="00940722" w:rsidRPr="0097784F" w:rsidRDefault="00940722" w:rsidP="00940722">
      <w:pPr>
        <w:pStyle w:val="ListParagraph"/>
        <w:numPr>
          <w:ilvl w:val="1"/>
          <w:numId w:val="1"/>
        </w:numPr>
        <w:rPr>
          <w:rFonts w:ascii="Garamond" w:hAnsi="Garamond" w:cs="Times New Roman"/>
          <w:i/>
          <w:szCs w:val="24"/>
        </w:rPr>
      </w:pPr>
      <w:r w:rsidRPr="0097784F">
        <w:rPr>
          <w:rFonts w:ascii="Garamond" w:hAnsi="Garamond" w:cs="Times New Roman"/>
          <w:i/>
          <w:szCs w:val="24"/>
        </w:rPr>
        <w:t xml:space="preserve">The Punctuated Coalitions Theory of Legislation </w:t>
      </w:r>
    </w:p>
    <w:p w14:paraId="5E902DD3" w14:textId="3D5CE88D" w:rsidR="00940722" w:rsidRPr="0097784F" w:rsidRDefault="00B0742E" w:rsidP="00940722">
      <w:pPr>
        <w:ind w:left="90" w:firstLine="360"/>
        <w:rPr>
          <w:szCs w:val="24"/>
        </w:rPr>
      </w:pPr>
      <w:r w:rsidRPr="0097784F">
        <w:rPr>
          <w:szCs w:val="24"/>
        </w:rPr>
        <w:t xml:space="preserve">If these are the ideas on which punctuated coalition theory builds and from which it departs, what is novel about this theory? With the theoretical literatures as a background, we return again to the five contributions of punctuated coalitional theory. </w:t>
      </w:r>
    </w:p>
    <w:p w14:paraId="5C3AD4C9" w14:textId="3447775E" w:rsidR="00940722" w:rsidRPr="0097784F" w:rsidRDefault="00940722" w:rsidP="00940722">
      <w:pPr>
        <w:ind w:left="90" w:firstLine="360"/>
        <w:rPr>
          <w:szCs w:val="24"/>
        </w:rPr>
      </w:pPr>
      <w:r w:rsidRPr="0097784F">
        <w:rPr>
          <w:szCs w:val="24"/>
        </w:rPr>
        <w:lastRenderedPageBreak/>
        <w:t xml:space="preserve">First, the policy entrepreneurs play a central role in punctuated legislation </w:t>
      </w:r>
      <w:r w:rsidR="00AA1701" w:rsidRPr="0097784F">
        <w:rPr>
          <w:szCs w:val="24"/>
        </w:rPr>
        <w:t xml:space="preserve">partly as predicted by the “garbage can model” and the “crisis reaction hypothesis.” </w:t>
      </w:r>
      <w:r w:rsidRPr="0097784F">
        <w:rPr>
          <w:szCs w:val="24"/>
        </w:rPr>
        <w:t xml:space="preserve">The ideas that shape legislation come from somewhere. Where we differ </w:t>
      </w:r>
      <w:r w:rsidR="00AA1701" w:rsidRPr="0097784F">
        <w:rPr>
          <w:szCs w:val="24"/>
        </w:rPr>
        <w:t xml:space="preserve">from these literatures </w:t>
      </w:r>
      <w:r w:rsidRPr="0097784F">
        <w:rPr>
          <w:szCs w:val="24"/>
        </w:rPr>
        <w:t xml:space="preserve">is in assigning to policy entrepreneurs much less agency </w:t>
      </w:r>
      <w:r w:rsidR="00AA1701" w:rsidRPr="0097784F">
        <w:rPr>
          <w:szCs w:val="24"/>
        </w:rPr>
        <w:t xml:space="preserve">and control over the outcomes of their solutions. Sometimes legislative outcomes are entirely off-the-shelf and look like the </w:t>
      </w:r>
      <w:r w:rsidR="002801FE" w:rsidRPr="0097784F">
        <w:rPr>
          <w:szCs w:val="24"/>
        </w:rPr>
        <w:t xml:space="preserve">work developed in obscurity by policy entrepreneurs. But this is rare. Much more often, </w:t>
      </w:r>
      <w:r w:rsidRPr="0097784F">
        <w:rPr>
          <w:szCs w:val="24"/>
        </w:rPr>
        <w:t xml:space="preserve">policy entrepreneurs </w:t>
      </w:r>
      <w:r w:rsidR="002801FE" w:rsidRPr="0097784F">
        <w:rPr>
          <w:szCs w:val="24"/>
        </w:rPr>
        <w:t xml:space="preserve">are themselves reacting against </w:t>
      </w:r>
      <w:r w:rsidRPr="0097784F">
        <w:rPr>
          <w:szCs w:val="24"/>
        </w:rPr>
        <w:t xml:space="preserve">outside events. </w:t>
      </w:r>
      <w:r w:rsidR="002801FE" w:rsidRPr="0097784F">
        <w:rPr>
          <w:szCs w:val="24"/>
        </w:rPr>
        <w:t>T</w:t>
      </w:r>
      <w:r w:rsidRPr="0097784F">
        <w:rPr>
          <w:szCs w:val="24"/>
        </w:rPr>
        <w:t xml:space="preserve">here </w:t>
      </w:r>
      <w:r w:rsidR="002801FE" w:rsidRPr="0097784F">
        <w:rPr>
          <w:szCs w:val="24"/>
        </w:rPr>
        <w:t xml:space="preserve">are very few, if any, </w:t>
      </w:r>
      <w:r w:rsidRPr="0097784F">
        <w:rPr>
          <w:szCs w:val="24"/>
        </w:rPr>
        <w:t>preconceived idea</w:t>
      </w:r>
      <w:r w:rsidR="002801FE" w:rsidRPr="0097784F">
        <w:rPr>
          <w:szCs w:val="24"/>
        </w:rPr>
        <w:t>s</w:t>
      </w:r>
      <w:r w:rsidRPr="0097784F">
        <w:rPr>
          <w:szCs w:val="24"/>
        </w:rPr>
        <w:t xml:space="preserve"> that exists outside the legislative process that emerge unchanged by it. </w:t>
      </w:r>
    </w:p>
    <w:p w14:paraId="58021AC1" w14:textId="703B0C41" w:rsidR="002801FE" w:rsidRPr="0097784F" w:rsidRDefault="00940722" w:rsidP="002801FE">
      <w:pPr>
        <w:ind w:left="90" w:firstLine="360"/>
        <w:rPr>
          <w:szCs w:val="24"/>
        </w:rPr>
      </w:pPr>
      <w:r w:rsidRPr="0097784F">
        <w:rPr>
          <w:szCs w:val="24"/>
        </w:rPr>
        <w:t>Second, the focus is on randomness throughout the legislative process</w:t>
      </w:r>
      <w:r w:rsidR="002801FE" w:rsidRPr="0097784F">
        <w:rPr>
          <w:szCs w:val="24"/>
        </w:rPr>
        <w:t xml:space="preserve"> is the central defining phenomenon in punctuated coalitional theory. Randomness is a departure for the “design” argument in Calomiris &amp; Haber. It is also a departure from the crisis reaction hypothesis. Crises surely function as a key part of the legislative processes, whether in success or failure. But the class of random events is much larger than this. And even when legislative outcomes do follow crises, the fact of crisis does not necessarily prescribe specific legislative outcomes.</w:t>
      </w:r>
    </w:p>
    <w:p w14:paraId="245219F8" w14:textId="27C9EADD" w:rsidR="002801FE" w:rsidRPr="0097784F" w:rsidRDefault="002801FE" w:rsidP="002801FE">
      <w:pPr>
        <w:ind w:left="90" w:firstLine="360"/>
        <w:rPr>
          <w:szCs w:val="24"/>
        </w:rPr>
      </w:pPr>
      <w:r w:rsidRPr="0097784F">
        <w:rPr>
          <w:szCs w:val="24"/>
        </w:rPr>
        <w:t xml:space="preserve">Third, exogenous events will active preexistent coalitions within interest groups and party politics that are deeply embedded into the existing institutional framework created by previous legal, political, and social experience. This reality should give pause to reformers, of all ideological backgrounds, who seek to reinvent entire systems. Legislative innovations occur constantly, but always within a preexisting institutional framework. </w:t>
      </w:r>
    </w:p>
    <w:p w14:paraId="0843F40F" w14:textId="5BE746C9" w:rsidR="002801FE" w:rsidRPr="0097784F" w:rsidRDefault="002801FE" w:rsidP="002801FE">
      <w:pPr>
        <w:ind w:left="90" w:firstLine="360"/>
        <w:rPr>
          <w:szCs w:val="24"/>
        </w:rPr>
      </w:pPr>
      <w:r w:rsidRPr="0097784F">
        <w:rPr>
          <w:szCs w:val="24"/>
        </w:rPr>
        <w:t xml:space="preserve">Fourth, legislative coalitions—the groups within Congress, supported by the groups outside it—are temporary. This is in stark contrast to the more durable (if sometimes shifting) loyalties of special interests and political parties. Legislative coalitions, even when legislation is supported only by a single party (as was essentially the case in Dodd-Frank), are temporary and reflect a nearly innumerable series of compromises and adaptations to push coalitions to the finish line. These are the “punctuated coalitions.” They are fragile, unpredictable, and do not endure.  </w:t>
      </w:r>
    </w:p>
    <w:p w14:paraId="7D9F8B7B" w14:textId="407BCD21" w:rsidR="002801FE" w:rsidRPr="0097784F" w:rsidRDefault="002801FE" w:rsidP="002801FE">
      <w:pPr>
        <w:ind w:left="90" w:firstLine="360"/>
        <w:rPr>
          <w:szCs w:val="24"/>
        </w:rPr>
      </w:pPr>
      <w:r w:rsidRPr="0097784F">
        <w:rPr>
          <w:szCs w:val="24"/>
        </w:rPr>
        <w:t xml:space="preserve">And finally, what fails is as important—sometimes, even more important—than what succeeds. Anti-coalitions and failed </w:t>
      </w:r>
      <w:r w:rsidRPr="0097784F">
        <w:rPr>
          <w:szCs w:val="24"/>
        </w:rPr>
        <w:lastRenderedPageBreak/>
        <w:t xml:space="preserve">legislation have enduring consequences for the institutional framework that survives any legislative success or failure. </w:t>
      </w:r>
    </w:p>
    <w:p w14:paraId="1E9A5B3C" w14:textId="762A1722" w:rsidR="002801FE" w:rsidRPr="0097784F" w:rsidRDefault="002801FE" w:rsidP="00B71417">
      <w:pPr>
        <w:ind w:left="90" w:firstLine="360"/>
        <w:rPr>
          <w:rFonts w:eastAsia="Arial"/>
          <w:szCs w:val="24"/>
        </w:rPr>
      </w:pPr>
      <w:r w:rsidRPr="0097784F">
        <w:rPr>
          <w:szCs w:val="24"/>
        </w:rPr>
        <w:t>Punctuated coalitional theory is an obvious nod to evolutionary theory generally and Stephen Jay Gould’s iconic essay, “The Panda’s Thumb,” in particular.</w:t>
      </w:r>
      <w:r w:rsidRPr="0097784F">
        <w:rPr>
          <w:rStyle w:val="FootnoteReference"/>
          <w:rFonts w:ascii="Garamond" w:hAnsi="Garamond"/>
          <w:szCs w:val="24"/>
        </w:rPr>
        <w:footnoteReference w:id="56"/>
      </w:r>
      <w:r w:rsidRPr="0097784F">
        <w:rPr>
          <w:szCs w:val="24"/>
        </w:rPr>
        <w:t xml:space="preserve"> </w:t>
      </w:r>
      <w:r w:rsidR="00B71417" w:rsidRPr="0097784F">
        <w:rPr>
          <w:szCs w:val="24"/>
        </w:rPr>
        <w:t xml:space="preserve">Gould describes the Panda’s thumb and evolutionary systems in general as </w:t>
      </w:r>
      <w:r w:rsidR="00B71417" w:rsidRPr="0097784F">
        <w:rPr>
          <w:rFonts w:eastAsia="Arial"/>
          <w:szCs w:val="24"/>
        </w:rPr>
        <w:t xml:space="preserve">those that produce </w:t>
      </w:r>
      <w:r w:rsidRPr="0097784F">
        <w:rPr>
          <w:rFonts w:eastAsia="Arial"/>
          <w:szCs w:val="24"/>
        </w:rPr>
        <w:t>“odd arrangements and funny solutions . . . paths that a sensible God would never tread but that a natural process, constrained by history, follows perforce.”</w:t>
      </w:r>
      <w:r w:rsidRPr="0097784F">
        <w:rPr>
          <w:rStyle w:val="FootnoteReference"/>
          <w:rFonts w:ascii="Garamond" w:eastAsia="Arial" w:hAnsi="Garamond"/>
          <w:szCs w:val="24"/>
        </w:rPr>
        <w:footnoteReference w:id="57"/>
      </w:r>
    </w:p>
    <w:p w14:paraId="468E026C" w14:textId="19CB144D" w:rsidR="0027592E" w:rsidRPr="0097784F" w:rsidRDefault="00B71417" w:rsidP="00086F43">
      <w:pPr>
        <w:ind w:left="90" w:firstLine="360"/>
        <w:rPr>
          <w:szCs w:val="24"/>
        </w:rPr>
      </w:pPr>
      <w:r w:rsidRPr="0097784F">
        <w:rPr>
          <w:rFonts w:eastAsia="Arial"/>
          <w:szCs w:val="24"/>
        </w:rPr>
        <w:t>We are far from the first to apply evolutionary theory to political or evolutionary processes.</w:t>
      </w:r>
      <w:r w:rsidRPr="0097784F">
        <w:rPr>
          <w:rStyle w:val="FootnoteReference"/>
          <w:rFonts w:ascii="Garamond" w:eastAsia="Arial" w:hAnsi="Garamond"/>
          <w:szCs w:val="24"/>
        </w:rPr>
        <w:footnoteReference w:id="58"/>
      </w:r>
      <w:r w:rsidR="00086F43" w:rsidRPr="0097784F">
        <w:rPr>
          <w:rFonts w:eastAsia="Arial"/>
          <w:szCs w:val="24"/>
        </w:rPr>
        <w:t xml:space="preserve"> And as we do so as historians of legislative processes, we should be mindful of the limitations for scientism in theorizing about human processes. </w:t>
      </w:r>
    </w:p>
    <w:p w14:paraId="0C63A54D" w14:textId="77777777" w:rsidR="00086F43" w:rsidRPr="0097784F" w:rsidRDefault="00902005" w:rsidP="002B11F5">
      <w:pPr>
        <w:rPr>
          <w:szCs w:val="24"/>
        </w:rPr>
      </w:pPr>
      <w:r w:rsidRPr="0097784F">
        <w:rPr>
          <w:szCs w:val="24"/>
        </w:rPr>
        <w:t xml:space="preserve">In </w:t>
      </w:r>
      <w:r w:rsidR="00086F43" w:rsidRPr="0097784F">
        <w:rPr>
          <w:szCs w:val="24"/>
        </w:rPr>
        <w:t xml:space="preserve">the most important </w:t>
      </w:r>
      <w:r w:rsidRPr="0097784F">
        <w:rPr>
          <w:szCs w:val="24"/>
        </w:rPr>
        <w:t>sense</w:t>
      </w:r>
      <w:r w:rsidR="00086F43" w:rsidRPr="0097784F">
        <w:rPr>
          <w:szCs w:val="24"/>
        </w:rPr>
        <w:t xml:space="preserve"> that we invoke evolutionary change, we do so metaphorically, rather than theoretically</w:t>
      </w:r>
      <w:r w:rsidRPr="0097784F">
        <w:rPr>
          <w:szCs w:val="24"/>
        </w:rPr>
        <w:t xml:space="preserve">, </w:t>
      </w:r>
      <w:r w:rsidR="00086F43" w:rsidRPr="0097784F">
        <w:rPr>
          <w:szCs w:val="24"/>
        </w:rPr>
        <w:t xml:space="preserve">as </w:t>
      </w:r>
      <w:r w:rsidRPr="0097784F">
        <w:rPr>
          <w:szCs w:val="24"/>
        </w:rPr>
        <w:t xml:space="preserve">a warning </w:t>
      </w:r>
      <w:r w:rsidRPr="0097784F">
        <w:rPr>
          <w:i/>
          <w:szCs w:val="24"/>
        </w:rPr>
        <w:t xml:space="preserve">against </w:t>
      </w:r>
      <w:r w:rsidRPr="0097784F">
        <w:rPr>
          <w:szCs w:val="24"/>
        </w:rPr>
        <w:t xml:space="preserve">an overly muscular scientific explanation of legislative processes, not a wholesale adoption of </w:t>
      </w:r>
      <w:r w:rsidR="00086F43" w:rsidRPr="0097784F">
        <w:rPr>
          <w:szCs w:val="24"/>
        </w:rPr>
        <w:t>those scientific explanations</w:t>
      </w:r>
      <w:r w:rsidRPr="0097784F">
        <w:rPr>
          <w:szCs w:val="24"/>
        </w:rPr>
        <w:t>. We take seriously the charge from Gabriel Almond and Stephen Genco who argued in 1977 that those who study political processes must do so with sensitivity to the ontologies of the subjects they study.</w:t>
      </w:r>
      <w:r w:rsidRPr="0097784F">
        <w:rPr>
          <w:rStyle w:val="FootnoteReference"/>
          <w:rFonts w:ascii="Garamond" w:hAnsi="Garamond"/>
          <w:szCs w:val="24"/>
        </w:rPr>
        <w:footnoteReference w:id="59"/>
      </w:r>
      <w:r w:rsidRPr="0097784F">
        <w:rPr>
          <w:szCs w:val="24"/>
        </w:rPr>
        <w:t xml:space="preserve"> Following Karl</w:t>
      </w:r>
      <w:r w:rsidR="00874D54" w:rsidRPr="0097784F">
        <w:rPr>
          <w:szCs w:val="24"/>
        </w:rPr>
        <w:t xml:space="preserve"> Popper,</w:t>
      </w:r>
      <w:r w:rsidR="00874D54" w:rsidRPr="0097784F">
        <w:rPr>
          <w:rStyle w:val="FootnoteReference"/>
          <w:rFonts w:ascii="Garamond" w:hAnsi="Garamond"/>
          <w:szCs w:val="24"/>
        </w:rPr>
        <w:footnoteReference w:id="60"/>
      </w:r>
      <w:r w:rsidRPr="0097784F">
        <w:rPr>
          <w:szCs w:val="24"/>
        </w:rPr>
        <w:t xml:space="preserve"> </w:t>
      </w:r>
      <w:r w:rsidR="00CE514C" w:rsidRPr="0097784F">
        <w:rPr>
          <w:szCs w:val="24"/>
        </w:rPr>
        <w:t xml:space="preserve">Almond and Genco use “the metaphor of clouds and clocks to represent the commonsense notions of determinacy and indeterminacy in physical systems,” with the “irregular, disorderly, and unpredictable </w:t>
      </w:r>
      <w:r w:rsidR="00CE514C" w:rsidRPr="0097784F">
        <w:rPr>
          <w:szCs w:val="24"/>
        </w:rPr>
        <w:lastRenderedPageBreak/>
        <w:t>‘clouds’” to one extreme and “the most regular, orderly, and predictable ‘clocks’ on the right.”</w:t>
      </w:r>
      <w:r w:rsidR="00CE514C" w:rsidRPr="0097784F">
        <w:rPr>
          <w:rStyle w:val="FootnoteReference"/>
          <w:rFonts w:ascii="Garamond" w:hAnsi="Garamond"/>
          <w:szCs w:val="24"/>
        </w:rPr>
        <w:footnoteReference w:id="61"/>
      </w:r>
      <w:r w:rsidR="00CE514C" w:rsidRPr="0097784F">
        <w:rPr>
          <w:szCs w:val="24"/>
        </w:rPr>
        <w:t xml:space="preserve"> </w:t>
      </w:r>
    </w:p>
    <w:p w14:paraId="63144F0A" w14:textId="3A0FD4CE" w:rsidR="00FC179C" w:rsidRPr="0097784F" w:rsidRDefault="002B6292" w:rsidP="00086F43">
      <w:pPr>
        <w:ind w:firstLine="720"/>
        <w:rPr>
          <w:szCs w:val="24"/>
        </w:rPr>
      </w:pPr>
      <w:r w:rsidRPr="0097784F">
        <w:rPr>
          <w:szCs w:val="24"/>
        </w:rPr>
        <w:t>The study of legislation is a study of clouds. This does not mean this study is impervious to methods more commonly associated with natural sciences</w:t>
      </w:r>
      <w:r w:rsidR="0027592E" w:rsidRPr="0097784F">
        <w:rPr>
          <w:szCs w:val="24"/>
        </w:rPr>
        <w:t>, nor is it impossible to articulate a predictive theory of legislative change</w:t>
      </w:r>
      <w:r w:rsidRPr="0097784F">
        <w:rPr>
          <w:szCs w:val="24"/>
        </w:rPr>
        <w:t>. It does mean</w:t>
      </w:r>
      <w:r w:rsidR="0027592E" w:rsidRPr="0097784F">
        <w:rPr>
          <w:szCs w:val="24"/>
        </w:rPr>
        <w:t>, though,</w:t>
      </w:r>
      <w:r w:rsidRPr="0097784F">
        <w:rPr>
          <w:szCs w:val="24"/>
        </w:rPr>
        <w:t xml:space="preserve"> </w:t>
      </w:r>
      <w:r w:rsidR="0027592E" w:rsidRPr="0097784F">
        <w:rPr>
          <w:szCs w:val="24"/>
        </w:rPr>
        <w:t xml:space="preserve">that any such effort or any such methods must take the </w:t>
      </w:r>
      <w:r w:rsidRPr="0097784F">
        <w:rPr>
          <w:szCs w:val="24"/>
        </w:rPr>
        <w:t xml:space="preserve">role of the “irregular, disorderly, and unpredictable” </w:t>
      </w:r>
      <w:r w:rsidR="0027592E" w:rsidRPr="0097784F">
        <w:rPr>
          <w:szCs w:val="24"/>
        </w:rPr>
        <w:t xml:space="preserve">as a given and give that randomness </w:t>
      </w:r>
      <w:r w:rsidRPr="0097784F">
        <w:rPr>
          <w:szCs w:val="24"/>
        </w:rPr>
        <w:t xml:space="preserve">center stage to positive theorizing about legislation and normative recommendations to improvements in process and outcome.  </w:t>
      </w:r>
    </w:p>
    <w:p w14:paraId="14D952B4" w14:textId="5F023E6C" w:rsidR="00DF4EF9" w:rsidRPr="0097784F" w:rsidRDefault="00DF4EF9" w:rsidP="00DF4EF9">
      <w:pPr>
        <w:pStyle w:val="Heading1"/>
        <w:spacing w:line="240" w:lineRule="auto"/>
        <w:rPr>
          <w:szCs w:val="24"/>
        </w:rPr>
      </w:pPr>
      <w:r w:rsidRPr="0097784F">
        <w:rPr>
          <w:szCs w:val="24"/>
        </w:rPr>
        <w:t xml:space="preserve">The </w:t>
      </w:r>
      <w:r w:rsidR="005B541B">
        <w:rPr>
          <w:szCs w:val="24"/>
        </w:rPr>
        <w:t xml:space="preserve">Random Path of the </w:t>
      </w:r>
      <w:r w:rsidRPr="0097784F">
        <w:rPr>
          <w:szCs w:val="24"/>
        </w:rPr>
        <w:t>Federal Reserve Act</w:t>
      </w:r>
      <w:r w:rsidR="001E505C" w:rsidRPr="0097784F">
        <w:rPr>
          <w:szCs w:val="24"/>
        </w:rPr>
        <w:t xml:space="preserve"> </w:t>
      </w:r>
    </w:p>
    <w:p w14:paraId="0F3A3608" w14:textId="51F985D9" w:rsidR="001E505C" w:rsidRPr="0097784F" w:rsidRDefault="00DF4EF9" w:rsidP="00DF4EF9">
      <w:pPr>
        <w:tabs>
          <w:tab w:val="left" w:pos="360"/>
        </w:tabs>
        <w:spacing w:line="240" w:lineRule="auto"/>
        <w:ind w:firstLine="360"/>
        <w:rPr>
          <w:szCs w:val="24"/>
        </w:rPr>
      </w:pPr>
      <w:bookmarkStart w:id="4" w:name="_Toc480185096"/>
      <w:bookmarkStart w:id="5" w:name="_Hlk1745651"/>
      <w:r w:rsidRPr="0097784F">
        <w:rPr>
          <w:szCs w:val="24"/>
        </w:rPr>
        <w:t xml:space="preserve">The Federal Reserve Act </w:t>
      </w:r>
      <w:r w:rsidR="005B541B">
        <w:rPr>
          <w:szCs w:val="24"/>
        </w:rPr>
        <w:t xml:space="preserve">would </w:t>
      </w:r>
      <w:r w:rsidRPr="0097784F">
        <w:rPr>
          <w:szCs w:val="24"/>
        </w:rPr>
        <w:t>seem</w:t>
      </w:r>
      <w:r w:rsidR="001E505C" w:rsidRPr="0097784F">
        <w:rPr>
          <w:szCs w:val="24"/>
        </w:rPr>
        <w:t xml:space="preserve"> </w:t>
      </w:r>
      <w:r w:rsidRPr="0097784F">
        <w:rPr>
          <w:szCs w:val="24"/>
        </w:rPr>
        <w:t xml:space="preserve">to fit well </w:t>
      </w:r>
      <w:r w:rsidR="001E505C" w:rsidRPr="0097784F">
        <w:rPr>
          <w:szCs w:val="24"/>
        </w:rPr>
        <w:t xml:space="preserve">a </w:t>
      </w:r>
      <w:r w:rsidRPr="0097784F">
        <w:rPr>
          <w:szCs w:val="24"/>
        </w:rPr>
        <w:t xml:space="preserve">crisis </w:t>
      </w:r>
      <w:r w:rsidR="001E505C" w:rsidRPr="0097784F">
        <w:rPr>
          <w:szCs w:val="24"/>
        </w:rPr>
        <w:t>reaction hypothesis</w:t>
      </w:r>
      <w:r w:rsidR="005B541B">
        <w:rPr>
          <w:szCs w:val="24"/>
        </w:rPr>
        <w:t xml:space="preserve">, or as part of a bank bargain between populists and bankers. </w:t>
      </w:r>
      <w:r w:rsidR="0097784F" w:rsidRPr="0097784F">
        <w:rPr>
          <w:szCs w:val="24"/>
        </w:rPr>
        <w:t xml:space="preserve">Despite the intellectual proximity of the </w:t>
      </w:r>
      <w:r w:rsidR="001E505C" w:rsidRPr="0097784F">
        <w:rPr>
          <w:szCs w:val="24"/>
        </w:rPr>
        <w:t xml:space="preserve">Federal Reserve Act </w:t>
      </w:r>
      <w:r w:rsidR="0097784F" w:rsidRPr="0097784F">
        <w:rPr>
          <w:szCs w:val="24"/>
        </w:rPr>
        <w:t xml:space="preserve">of 1913 to the Panic of 1907, the Act </w:t>
      </w:r>
      <w:r w:rsidR="005B541B">
        <w:rPr>
          <w:szCs w:val="24"/>
        </w:rPr>
        <w:t xml:space="preserve">in fact </w:t>
      </w:r>
      <w:r w:rsidRPr="0097784F">
        <w:rPr>
          <w:szCs w:val="24"/>
        </w:rPr>
        <w:t>comes closer to proving Romano’s case for a long-incubating, non-crisis legislative response with a sunset clause (as Congress had included in the original act)</w:t>
      </w:r>
      <w:r w:rsidR="001E505C" w:rsidRPr="0097784F">
        <w:rPr>
          <w:szCs w:val="24"/>
        </w:rPr>
        <w:t xml:space="preserve"> rather than as a piece of quick-and-dirty financial panic reaction. Along the way, the Federal Reserve Act bore the fingerprints of policy entrepreneurs summoned forth both from sheltered areas of policy discussion—Paul Warburg, for example—and those who came to the legislative process with few preconceived notions but eager to leave their mark—Woodrow Wilson. And the shape the Fed took after 1913 could not have been predicted, coming as it did as a compromise to factions that did not even disagree but each needed to declare political victories. </w:t>
      </w:r>
    </w:p>
    <w:p w14:paraId="095B5572" w14:textId="645FAB99" w:rsidR="001E505C" w:rsidRPr="0097784F" w:rsidRDefault="005B541B" w:rsidP="00DF4EF9">
      <w:pPr>
        <w:tabs>
          <w:tab w:val="left" w:pos="360"/>
        </w:tabs>
        <w:spacing w:line="240" w:lineRule="auto"/>
        <w:ind w:firstLine="360"/>
        <w:rPr>
          <w:szCs w:val="24"/>
        </w:rPr>
      </w:pPr>
      <w:r>
        <w:rPr>
          <w:szCs w:val="24"/>
        </w:rPr>
        <w:t xml:space="preserve">The passage of the Federal Reserve Act illustrates </w:t>
      </w:r>
      <w:r w:rsidR="001E505C" w:rsidRPr="0097784F">
        <w:rPr>
          <w:szCs w:val="24"/>
        </w:rPr>
        <w:t>the power of temporary legislative coalitions, policy entrepreneurs, and randomness playing out to build upon pre-existing institutions and entrench others</w:t>
      </w:r>
      <w:r w:rsidR="0097784F" w:rsidRPr="0097784F">
        <w:rPr>
          <w:szCs w:val="24"/>
        </w:rPr>
        <w:t xml:space="preserve"> into the future</w:t>
      </w:r>
      <w:r w:rsidR="001E505C" w:rsidRPr="0097784F">
        <w:rPr>
          <w:szCs w:val="24"/>
        </w:rPr>
        <w:t>.</w:t>
      </w:r>
      <w:r w:rsidR="0097784F" w:rsidRPr="0097784F">
        <w:rPr>
          <w:szCs w:val="24"/>
        </w:rPr>
        <w:t xml:space="preserve"> </w:t>
      </w:r>
    </w:p>
    <w:p w14:paraId="4BB563A3" w14:textId="77777777" w:rsidR="002146DC" w:rsidRPr="0097784F" w:rsidRDefault="00BD4F77" w:rsidP="00DF4EF9">
      <w:pPr>
        <w:pStyle w:val="Heading2"/>
        <w:tabs>
          <w:tab w:val="left" w:pos="360"/>
        </w:tabs>
        <w:rPr>
          <w:szCs w:val="24"/>
        </w:rPr>
      </w:pPr>
      <w:r w:rsidRPr="0097784F">
        <w:rPr>
          <w:szCs w:val="24"/>
        </w:rPr>
        <w:lastRenderedPageBreak/>
        <w:t>The Federal Reserve Act</w:t>
      </w:r>
    </w:p>
    <w:p w14:paraId="4F721FC4" w14:textId="74FA91B9" w:rsidR="00DF4EF9" w:rsidRPr="0097784F" w:rsidRDefault="00BD4F77" w:rsidP="002146DC">
      <w:pPr>
        <w:pStyle w:val="Heading3"/>
        <w:rPr>
          <w:szCs w:val="24"/>
        </w:rPr>
      </w:pPr>
      <w:r w:rsidRPr="0097784F">
        <w:rPr>
          <w:szCs w:val="24"/>
        </w:rPr>
        <w:t>The Prelude</w:t>
      </w:r>
    </w:p>
    <w:p w14:paraId="41DF5F73" w14:textId="21902F6B" w:rsidR="005B42FC" w:rsidRPr="0097784F" w:rsidRDefault="00451A65" w:rsidP="005B42FC">
      <w:pPr>
        <w:pStyle w:val="MainBody"/>
      </w:pPr>
      <w:r w:rsidRPr="0097784F">
        <w:t>The U.S. experience with central banking had been, in a word, uneven.</w:t>
      </w:r>
      <w:r w:rsidR="005B42FC" w:rsidRPr="0097784F">
        <w:t xml:space="preserve"> The Hamiltonian vision had been cast aside, first uneasily by James Madison in 1811 and then, after its almost immediate resurgence, enthusiastically by Andrew Jackson. Despite the fact that the Bank of the United States maintained strong popular support, Jacksonian influence on the Democratic Party throughout the 19</w:t>
      </w:r>
      <w:r w:rsidR="005B42FC" w:rsidRPr="0097784F">
        <w:rPr>
          <w:vertAlign w:val="superscript"/>
        </w:rPr>
        <w:t>th</w:t>
      </w:r>
      <w:r w:rsidR="005B42FC" w:rsidRPr="0097784F">
        <w:t xml:space="preserve"> century made experiments with central banking anathema to politicians for the remainder of that century.</w:t>
      </w:r>
      <w:r w:rsidR="0097784F" w:rsidRPr="0097784F">
        <w:rPr>
          <w:rFonts w:eastAsia="MS Mincho" w:cs="Times New Roman"/>
          <w:kern w:val="16"/>
          <w:vertAlign w:val="superscript"/>
          <w14:ligatures w14:val="standardContextual"/>
          <w14:numSpacing w14:val="proportional"/>
          <w14:cntxtAlts/>
        </w:rPr>
        <w:t xml:space="preserve"> </w:t>
      </w:r>
      <w:r w:rsidR="0097784F" w:rsidRPr="0097784F">
        <w:rPr>
          <w:vertAlign w:val="superscript"/>
        </w:rPr>
        <w:footnoteReference w:id="62"/>
      </w:r>
      <w:r w:rsidR="005B42FC" w:rsidRPr="0097784F">
        <w:t xml:space="preserve"> </w:t>
      </w:r>
    </w:p>
    <w:p w14:paraId="440EC242" w14:textId="1D753405" w:rsidR="00451A65" w:rsidRPr="0097784F" w:rsidRDefault="005B42FC" w:rsidP="005B42FC">
      <w:pPr>
        <w:pStyle w:val="MainBody"/>
      </w:pPr>
      <w:r w:rsidRPr="0097784F">
        <w:t>Political paroxysms that followed financial panics pushed the question of money to a political high-water mark by the end of the 19</w:t>
      </w:r>
      <w:r w:rsidRPr="0097784F">
        <w:rPr>
          <w:vertAlign w:val="superscript"/>
        </w:rPr>
        <w:t>th</w:t>
      </w:r>
      <w:r w:rsidRPr="0097784F">
        <w:t xml:space="preserve"> century, including through the debates around the metallic (or, in that case, bimetallic) basis for money at the heart of the 1896 election.</w:t>
      </w:r>
      <w:r w:rsidR="0026754F" w:rsidRPr="0097784F">
        <w:t xml:space="preserve"> William Jennings Bryan, the Great Commoner and enthusiast for expanding money beyond the gold standard, lost that election and lost that debate. Despite his continued political relevance, his quest for bimetallism had largely failed.</w:t>
      </w:r>
      <w:r w:rsidR="00485A7E">
        <w:rPr>
          <w:rStyle w:val="FootnoteReference"/>
        </w:rPr>
        <w:footnoteReference w:id="63"/>
      </w:r>
      <w:r w:rsidR="0026754F" w:rsidRPr="0097784F">
        <w:t xml:space="preserve">  </w:t>
      </w:r>
    </w:p>
    <w:p w14:paraId="0E66CB59" w14:textId="6191E6EC" w:rsidR="00B24C9A" w:rsidRPr="0097784F" w:rsidRDefault="00B24C9A" w:rsidP="00B24C9A">
      <w:pPr>
        <w:tabs>
          <w:tab w:val="left" w:pos="360"/>
        </w:tabs>
        <w:spacing w:line="240" w:lineRule="auto"/>
        <w:rPr>
          <w:szCs w:val="24"/>
        </w:rPr>
      </w:pPr>
      <w:r w:rsidRPr="0097784F">
        <w:rPr>
          <w:szCs w:val="24"/>
        </w:rPr>
        <w:tab/>
      </w:r>
      <w:r w:rsidR="000A7A78" w:rsidRPr="0097784F">
        <w:rPr>
          <w:szCs w:val="24"/>
        </w:rPr>
        <w:t>Against the failure of bimetallism, other ideas about the strengths and weaknesses of the U.S. banking system were being debated.</w:t>
      </w:r>
      <w:r w:rsidRPr="0097784F">
        <w:rPr>
          <w:szCs w:val="24"/>
        </w:rPr>
        <w:t xml:space="preserve"> Among the forefront in these debates was Paul Warburg, a German émigré who connected the great banking houses of the Warburgs in Germany and Kuhn Loeb in New York City. In a 1907 op-ed for the New York Times, he wrote, somewhat hyperbolically, that the United States was “in fact at about the same point that had been reached by Europe at the time of the </w:t>
      </w:r>
      <w:r w:rsidRPr="0097784F">
        <w:rPr>
          <w:szCs w:val="24"/>
        </w:rPr>
        <w:lastRenderedPageBreak/>
        <w:t>Medicis, and by Asia, in all likelihood, at the time of Hamurabi.” The country’s “immense National resources have enabled us to live and prosper in spite of our present system, but so long as it is not reformed it will prevent us from ever becoming the financial centre of the world.”</w:t>
      </w:r>
      <w:r w:rsidRPr="0097784F">
        <w:rPr>
          <w:rStyle w:val="FootnoteReference"/>
          <w:rFonts w:ascii="Garamond" w:hAnsi="Garamond"/>
          <w:szCs w:val="24"/>
        </w:rPr>
        <w:footnoteReference w:id="64"/>
      </w:r>
      <w:r w:rsidRPr="0097784F">
        <w:rPr>
          <w:szCs w:val="24"/>
        </w:rPr>
        <w:t xml:space="preserve"> Warburg didn’t come as a great financial theorist—he wanted only to see the Bank of England in New York City.</w:t>
      </w:r>
      <w:r w:rsidRPr="0097784F">
        <w:rPr>
          <w:rStyle w:val="FootnoteReference"/>
          <w:rFonts w:ascii="Garamond" w:hAnsi="Garamond"/>
          <w:szCs w:val="24"/>
        </w:rPr>
        <w:footnoteReference w:id="65"/>
      </w:r>
      <w:r w:rsidRPr="0097784F">
        <w:rPr>
          <w:szCs w:val="24"/>
        </w:rPr>
        <w:t xml:space="preserve"> </w:t>
      </w:r>
    </w:p>
    <w:p w14:paraId="466B4532" w14:textId="7D6B9D8C" w:rsidR="00DF4EF9" w:rsidRPr="0097784F" w:rsidRDefault="002146DC" w:rsidP="00DF4EF9">
      <w:pPr>
        <w:tabs>
          <w:tab w:val="left" w:pos="360"/>
        </w:tabs>
        <w:spacing w:line="240" w:lineRule="auto"/>
        <w:rPr>
          <w:szCs w:val="24"/>
        </w:rPr>
      </w:pPr>
      <w:bookmarkStart w:id="6" w:name="_Hlk1734640"/>
      <w:bookmarkEnd w:id="4"/>
      <w:r w:rsidRPr="0097784F">
        <w:rPr>
          <w:szCs w:val="24"/>
        </w:rPr>
        <w:tab/>
        <w:t xml:space="preserve">Warburg, by his own account, was counseled against making more of his ideas than the U.S. public could abide. </w:t>
      </w:r>
      <w:r w:rsidR="00D83A1A">
        <w:rPr>
          <w:szCs w:val="24"/>
        </w:rPr>
        <w:t>The Panic of 1907 set into motion a reevaluation of this question</w:t>
      </w:r>
      <w:r w:rsidR="00DF4EF9" w:rsidRPr="0097784F">
        <w:rPr>
          <w:szCs w:val="24"/>
        </w:rPr>
        <w:t xml:space="preserve">. </w:t>
      </w:r>
      <w:r w:rsidRPr="0097784F">
        <w:rPr>
          <w:szCs w:val="24"/>
        </w:rPr>
        <w:t>The crisis began when a</w:t>
      </w:r>
      <w:r w:rsidR="00DF4EF9" w:rsidRPr="0097784F">
        <w:rPr>
          <w:szCs w:val="24"/>
        </w:rPr>
        <w:t>n exogenous shock to the financial system proved destabilizing. The San Francisco earthquake and fire of 1906 led to a rush of gold from New York banks to San Francisco, weakening the national system. The panic was also a function of market structure: the rise of trust companies that functioned as banks, but outside both the national banking system and the state systems for chartered banks, played a key role.</w:t>
      </w:r>
      <w:r w:rsidR="00DF4EF9" w:rsidRPr="0097784F">
        <w:rPr>
          <w:rStyle w:val="FootnoteReference"/>
          <w:rFonts w:ascii="Garamond" w:hAnsi="Garamond"/>
          <w:szCs w:val="24"/>
        </w:rPr>
        <w:footnoteReference w:id="66"/>
      </w:r>
      <w:r w:rsidR="00DF4EF9" w:rsidRPr="0097784F">
        <w:rPr>
          <w:szCs w:val="24"/>
        </w:rPr>
        <w:t xml:space="preserve"> When the largest of these banks, the Knickerbocker Trust, failed, a general run on trusts resulted in the panic, with contagion spreading throughout the system.</w:t>
      </w:r>
      <w:r w:rsidR="00DF4EF9" w:rsidRPr="0097784F">
        <w:rPr>
          <w:rStyle w:val="FootnoteReference"/>
          <w:rFonts w:ascii="Garamond" w:hAnsi="Garamond"/>
          <w:szCs w:val="24"/>
        </w:rPr>
        <w:footnoteReference w:id="67"/>
      </w:r>
    </w:p>
    <w:p w14:paraId="1C4A7299" w14:textId="6598ABAB" w:rsidR="00DF4EF9" w:rsidRPr="0097784F" w:rsidRDefault="00DF4EF9" w:rsidP="00DF4EF9">
      <w:pPr>
        <w:tabs>
          <w:tab w:val="left" w:pos="360"/>
        </w:tabs>
        <w:spacing w:line="240" w:lineRule="auto"/>
        <w:rPr>
          <w:szCs w:val="24"/>
        </w:rPr>
      </w:pPr>
      <w:r w:rsidRPr="0097784F">
        <w:rPr>
          <w:szCs w:val="24"/>
        </w:rPr>
        <w:tab/>
        <w:t xml:space="preserve">In the usual retelling of the Fed’s history and its links to the 1907 panic, the Fed came as Congress’s answer to the problem of JP Morgan’s mortality. The 1907 panic was a dark one, but luckily for the U.S. financial system, Morgan—the great Jupiter of American banking and hero/villain of 1895—saved the day, stemmed the panic, and the system lived to fight another day. </w:t>
      </w:r>
      <w:r w:rsidRPr="0097784F">
        <w:rPr>
          <w:szCs w:val="24"/>
        </w:rPr>
        <w:lastRenderedPageBreak/>
        <w:t>Congress recognized that it couldn’t count on Morgan forever, so it got its central banking act together after nearly a century in the wilderness and passed the Federal Reserve Act of 1913. The U.S. has had a central bank ever since.</w:t>
      </w:r>
      <w:r w:rsidRPr="0097784F">
        <w:rPr>
          <w:rStyle w:val="FootnoteReference"/>
          <w:rFonts w:ascii="Garamond" w:hAnsi="Garamond"/>
          <w:szCs w:val="24"/>
        </w:rPr>
        <w:footnoteReference w:id="68"/>
      </w:r>
      <w:bookmarkStart w:id="7" w:name="_Toc480185098"/>
    </w:p>
    <w:p w14:paraId="6F1B0C7B" w14:textId="77777777" w:rsidR="00DF4EF9" w:rsidRPr="0097784F" w:rsidRDefault="00DF4EF9" w:rsidP="00DF4EF9">
      <w:pPr>
        <w:tabs>
          <w:tab w:val="left" w:pos="360"/>
        </w:tabs>
        <w:spacing w:line="240" w:lineRule="auto"/>
        <w:rPr>
          <w:szCs w:val="24"/>
        </w:rPr>
      </w:pPr>
      <w:r w:rsidRPr="0097784F">
        <w:rPr>
          <w:szCs w:val="24"/>
        </w:rPr>
        <w:tab/>
        <w:t>The problem with that story is that while some of the bare facts are true, the arc of the narrative is not. There was a financial panic in 1907, Morgan was involved, and the Federal Reserve Act was passed in 1913. What the story misses is just how much the government was involved in that crisis response, and how much activity intervened between the Panic of 1907 and the signing ceremony on December 23, 1913. But if Morgan’s participation in staunching the panic has been oversold—and it has, largely beginning with his own associates—the shadow of panic loomed over these discussions and fomented policy entrepreneurship in important ways, as we have already seen with Warburg.</w:t>
      </w:r>
      <w:r w:rsidRPr="0097784F">
        <w:rPr>
          <w:rStyle w:val="FootnoteReference"/>
          <w:rFonts w:ascii="Garamond" w:hAnsi="Garamond"/>
          <w:szCs w:val="24"/>
        </w:rPr>
        <w:footnoteReference w:id="69"/>
      </w:r>
    </w:p>
    <w:p w14:paraId="7BBAADA9" w14:textId="77777777" w:rsidR="00DF4EF9" w:rsidRPr="0097784F" w:rsidRDefault="00DF4EF9" w:rsidP="00DF4EF9">
      <w:pPr>
        <w:tabs>
          <w:tab w:val="left" w:pos="360"/>
        </w:tabs>
        <w:spacing w:line="240" w:lineRule="auto"/>
        <w:rPr>
          <w:szCs w:val="24"/>
        </w:rPr>
      </w:pPr>
      <w:r w:rsidRPr="0097784F">
        <w:rPr>
          <w:szCs w:val="24"/>
        </w:rPr>
        <w:tab/>
        <w:t xml:space="preserve">It also created an important moment of crisis legislation. In the immediate aftermath, Congress passed the Aldrich-Vreeland Act </w:t>
      </w:r>
      <w:bookmarkEnd w:id="7"/>
      <w:r w:rsidRPr="0097784F">
        <w:rPr>
          <w:szCs w:val="24"/>
        </w:rPr>
        <w:t>creating an institution called the National Monetary Commission, sending the final bill to President Theodore Roosevelt’s desk in May 1908 (the crisis peaked in November 1907). The Commission was a legislative agency, not an executive one, a creature of Congress consisting of nine members each from the House and Senate.</w:t>
      </w:r>
      <w:r w:rsidRPr="0097784F">
        <w:rPr>
          <w:rStyle w:val="FootnoteReference"/>
          <w:rFonts w:ascii="Garamond" w:hAnsi="Garamond"/>
          <w:szCs w:val="24"/>
        </w:rPr>
        <w:footnoteReference w:id="70"/>
      </w:r>
      <w:r w:rsidRPr="0097784F">
        <w:rPr>
          <w:szCs w:val="24"/>
        </w:rPr>
        <w:t xml:space="preserve"> The Commission was to “inquire into and report to Congress at the earliest date practicable, what changes are necessary or desirable in the monetary system of the United States or in the laws relating to banking and currency.”</w:t>
      </w:r>
      <w:r w:rsidRPr="0097784F">
        <w:rPr>
          <w:rStyle w:val="FootnoteReference"/>
          <w:rFonts w:ascii="Garamond" w:hAnsi="Garamond"/>
          <w:szCs w:val="24"/>
        </w:rPr>
        <w:footnoteReference w:id="71"/>
      </w:r>
      <w:r w:rsidRPr="0097784F">
        <w:rPr>
          <w:szCs w:val="24"/>
        </w:rPr>
        <w:t xml:space="preserve"> The Act in general wasn’t universally loved; one commentator called it a “curious compound of conflicting views, compromise, haste, and </w:t>
      </w:r>
      <w:r w:rsidRPr="0097784F">
        <w:rPr>
          <w:szCs w:val="24"/>
        </w:rPr>
        <w:lastRenderedPageBreak/>
        <w:t>politics.”</w:t>
      </w:r>
      <w:r w:rsidRPr="0097784F">
        <w:rPr>
          <w:rStyle w:val="FootnoteReference"/>
          <w:rFonts w:ascii="Garamond" w:hAnsi="Garamond"/>
          <w:szCs w:val="24"/>
        </w:rPr>
        <w:footnoteReference w:id="72"/>
      </w:r>
      <w:r w:rsidRPr="0097784F">
        <w:rPr>
          <w:szCs w:val="24"/>
        </w:rPr>
        <w:t xml:space="preserve"> But it largely avoided the controversies these questions usually engendered by putting off to a Commission the hard conversations that Congress seemed unlikely to resolve on their own. Even the substantive provisions, such as they were, had a time limit: they would expire in 14 years.  </w:t>
      </w:r>
    </w:p>
    <w:bookmarkEnd w:id="6"/>
    <w:p w14:paraId="3261FEB1" w14:textId="77777777" w:rsidR="00DF4EF9" w:rsidRPr="0097784F" w:rsidRDefault="00DF4EF9" w:rsidP="00DF4EF9">
      <w:pPr>
        <w:tabs>
          <w:tab w:val="left" w:pos="360"/>
        </w:tabs>
        <w:spacing w:line="240" w:lineRule="auto"/>
        <w:rPr>
          <w:szCs w:val="24"/>
        </w:rPr>
      </w:pPr>
      <w:r w:rsidRPr="0097784F">
        <w:rPr>
          <w:szCs w:val="24"/>
        </w:rPr>
        <w:tab/>
        <w:t>Nelson Aldrich himself chaired the NMC, which also commissioned over thirty volumes of original research that covered banking and central banking from every major global jurisdiction and several different epochs of U.S. history. Most of these volumes have not been widely consulted, but the point may have been to give the Commission’s final proposals the patina of expertise: as Roger Lowenstein writes, “Aldrich sensed that an ambitious project required a proper foundation, a bibliographic heft, to be treated with the requisite gravitas.”</w:t>
      </w:r>
      <w:r w:rsidRPr="0097784F">
        <w:rPr>
          <w:rStyle w:val="FootnoteReference"/>
          <w:rFonts w:ascii="Garamond" w:hAnsi="Garamond"/>
          <w:szCs w:val="24"/>
        </w:rPr>
        <w:footnoteReference w:id="73"/>
      </w:r>
    </w:p>
    <w:p w14:paraId="7474A4B7" w14:textId="071ED356" w:rsidR="00DF4EF9" w:rsidRPr="0097784F" w:rsidRDefault="00DF4EF9" w:rsidP="00DF4EF9">
      <w:pPr>
        <w:tabs>
          <w:tab w:val="left" w:pos="360"/>
        </w:tabs>
        <w:spacing w:line="240" w:lineRule="auto"/>
        <w:rPr>
          <w:szCs w:val="24"/>
        </w:rPr>
      </w:pPr>
      <w:r w:rsidRPr="0097784F">
        <w:rPr>
          <w:szCs w:val="24"/>
        </w:rPr>
        <w:tab/>
        <w:t xml:space="preserve">From the beginning, Aldrich, already closely aligned with industry, consulted closely with bankers from Morgan’s and elsewhere. Given how close to the 1908 presidential election the Panic of 1907 was, it’s remarkable that the issue wasn’t more central to the campaign (especially given that the Great Commoner was making his third and final appearance as the Democratic candidate). </w:t>
      </w:r>
      <w:r w:rsidR="00E1288A">
        <w:rPr>
          <w:szCs w:val="24"/>
        </w:rPr>
        <w:t>Democrats mostly ignored the issue, but toyed with proposals that the government should offer deposit insurance to consumer banks</w:t>
      </w:r>
      <w:r w:rsidR="00267303">
        <w:rPr>
          <w:szCs w:val="24"/>
        </w:rPr>
        <w:t>; Republicans wanted to await the Commission’s conclusions.</w:t>
      </w:r>
      <w:r w:rsidR="00E1288A">
        <w:rPr>
          <w:rStyle w:val="FootnoteReference"/>
          <w:szCs w:val="24"/>
        </w:rPr>
        <w:footnoteReference w:id="74"/>
      </w:r>
    </w:p>
    <w:p w14:paraId="5DB5B74A" w14:textId="48196B90" w:rsidR="00DF4EF9" w:rsidRPr="0097784F" w:rsidRDefault="00DF4EF9" w:rsidP="00270EC4">
      <w:pPr>
        <w:spacing w:line="240" w:lineRule="auto"/>
        <w:ind w:firstLine="720"/>
        <w:rPr>
          <w:szCs w:val="24"/>
        </w:rPr>
      </w:pPr>
      <w:r w:rsidRPr="0097784F">
        <w:rPr>
          <w:szCs w:val="24"/>
        </w:rPr>
        <w:t xml:space="preserve">During the election season, Aldrich and other members of the NMC, plus staff, started a global tour. Through fifty-eight meetings with “central bankers as well as with diplomats, editors, and local financiers,” the Commissioned concluded that the common denominator in each regime was the idea of a </w:t>
      </w:r>
      <w:r w:rsidRPr="0097784F">
        <w:rPr>
          <w:i/>
          <w:szCs w:val="24"/>
        </w:rPr>
        <w:t>system</w:t>
      </w:r>
      <w:r w:rsidRPr="0097784F">
        <w:rPr>
          <w:szCs w:val="24"/>
        </w:rPr>
        <w:t>. There was a coherence to them, an institutional design, that the haphazard nature of the U.S. financial system</w:t>
      </w:r>
      <w:r w:rsidR="00270EC4">
        <w:rPr>
          <w:szCs w:val="24"/>
        </w:rPr>
        <w:t xml:space="preserve"> </w:t>
      </w:r>
      <w:r w:rsidRPr="0097784F">
        <w:rPr>
          <w:szCs w:val="24"/>
        </w:rPr>
        <w:t xml:space="preserve">could not and did not </w:t>
      </w:r>
      <w:r w:rsidRPr="0097784F">
        <w:rPr>
          <w:szCs w:val="24"/>
        </w:rPr>
        <w:lastRenderedPageBreak/>
        <w:t>match. Although Aldrich had opposed Warburg’s ideas of importing some comparable system to the United States, by the end of his trip, he was converted to the idea.</w:t>
      </w:r>
      <w:r w:rsidRPr="0097784F">
        <w:rPr>
          <w:rStyle w:val="FootnoteReference"/>
          <w:rFonts w:ascii="Garamond" w:hAnsi="Garamond"/>
          <w:szCs w:val="24"/>
        </w:rPr>
        <w:footnoteReference w:id="75"/>
      </w:r>
    </w:p>
    <w:p w14:paraId="34F440F5" w14:textId="73362DB5" w:rsidR="002146DC" w:rsidRPr="0097784F" w:rsidRDefault="002146DC" w:rsidP="00DF4EF9">
      <w:pPr>
        <w:tabs>
          <w:tab w:val="left" w:pos="360"/>
        </w:tabs>
        <w:spacing w:line="240" w:lineRule="auto"/>
        <w:rPr>
          <w:szCs w:val="24"/>
        </w:rPr>
      </w:pPr>
      <w:r w:rsidRPr="0097784F">
        <w:rPr>
          <w:szCs w:val="24"/>
        </w:rPr>
        <w:tab/>
        <w:t xml:space="preserve"> Aldrich pressed ahead, continuing to confer with the bankers who would stand the most to gain or lose from legislation. But more than that, Aldrich wanted secrecy to prevail so that the whims of politics would stay far from this careful planning. It was in this context that Aldrich, Warburg, and others in banking made their fateful trip to Jekyll Island, an island off the coast of Georgia frequented by the wealthy</w:t>
      </w:r>
      <w:r w:rsidR="00E84E4F">
        <w:rPr>
          <w:szCs w:val="24"/>
        </w:rPr>
        <w:t>, where many of the functional details of what would become the Federal Reserve Act were decided.</w:t>
      </w:r>
      <w:r w:rsidR="00E84E4F">
        <w:rPr>
          <w:rStyle w:val="FootnoteReference"/>
          <w:szCs w:val="24"/>
        </w:rPr>
        <w:footnoteReference w:id="76"/>
      </w:r>
      <w:r w:rsidR="00E84E4F">
        <w:rPr>
          <w:szCs w:val="24"/>
        </w:rPr>
        <w:t xml:space="preserve"> </w:t>
      </w:r>
    </w:p>
    <w:p w14:paraId="255D1C03" w14:textId="77777777" w:rsidR="002146DC" w:rsidRPr="0097784F" w:rsidRDefault="002146DC" w:rsidP="002146DC">
      <w:pPr>
        <w:tabs>
          <w:tab w:val="left" w:pos="360"/>
        </w:tabs>
        <w:spacing w:line="240" w:lineRule="auto"/>
        <w:rPr>
          <w:szCs w:val="24"/>
        </w:rPr>
      </w:pPr>
      <w:r w:rsidRPr="0097784F">
        <w:rPr>
          <w:szCs w:val="24"/>
        </w:rPr>
        <w:tab/>
        <w:t>The proposal that emerged from the Jekyll Island meeting became known as the Aldrich Plan. The centerpiece was the “National Reserve Association,” a national association with local branches that allowed individual banks to pool reserves under common control of a purely private governance structure. It wasn’t a central bank in the sense of total control by a single central bank governor, but nor was it just the National Banking System redux, nor private clearing houses. It would have government support, and the U.S. President would appoint the NRA governor, but only from a list of forty directors. It was, as Warburg put it, “strictly a banker’s bank.”</w:t>
      </w:r>
      <w:r w:rsidRPr="0097784F">
        <w:rPr>
          <w:rStyle w:val="FootnoteReference"/>
          <w:rFonts w:ascii="Garamond" w:hAnsi="Garamond"/>
          <w:szCs w:val="24"/>
        </w:rPr>
        <w:footnoteReference w:id="77"/>
      </w:r>
      <w:r w:rsidRPr="0097784F">
        <w:rPr>
          <w:szCs w:val="24"/>
        </w:rPr>
        <w:t xml:space="preserve"> </w:t>
      </w:r>
    </w:p>
    <w:p w14:paraId="730357B9" w14:textId="261A9AC1" w:rsidR="00DF4EF9" w:rsidRPr="0097784F" w:rsidRDefault="002146DC" w:rsidP="00DF4EF9">
      <w:pPr>
        <w:pStyle w:val="Heading2"/>
        <w:tabs>
          <w:tab w:val="left" w:pos="360"/>
        </w:tabs>
        <w:spacing w:line="240" w:lineRule="auto"/>
        <w:rPr>
          <w:szCs w:val="24"/>
        </w:rPr>
      </w:pPr>
      <w:r w:rsidRPr="0097784F">
        <w:rPr>
          <w:szCs w:val="24"/>
        </w:rPr>
        <w:lastRenderedPageBreak/>
        <w:t>The Intervening Politics of 1912</w:t>
      </w:r>
    </w:p>
    <w:p w14:paraId="6249530F" w14:textId="0C041523" w:rsidR="00DF4EF9" w:rsidRPr="0097784F" w:rsidRDefault="002146DC" w:rsidP="002146DC">
      <w:pPr>
        <w:tabs>
          <w:tab w:val="left" w:pos="360"/>
        </w:tabs>
        <w:spacing w:line="240" w:lineRule="auto"/>
        <w:rPr>
          <w:szCs w:val="24"/>
        </w:rPr>
      </w:pPr>
      <w:r w:rsidRPr="0097784F">
        <w:rPr>
          <w:szCs w:val="24"/>
        </w:rPr>
        <w:tab/>
        <w:t>Politics, as it does, intervened, and intervened powerfully</w:t>
      </w:r>
      <w:r w:rsidR="00C60513" w:rsidRPr="0097784F">
        <w:rPr>
          <w:szCs w:val="24"/>
        </w:rPr>
        <w:t>, d</w:t>
      </w:r>
      <w:r w:rsidRPr="0097784F">
        <w:rPr>
          <w:szCs w:val="24"/>
        </w:rPr>
        <w:t>espite</w:t>
      </w:r>
      <w:r w:rsidR="00C60513" w:rsidRPr="0097784F">
        <w:rPr>
          <w:szCs w:val="24"/>
        </w:rPr>
        <w:t xml:space="preserve"> Aldrich’s best efforts.</w:t>
      </w:r>
      <w:r w:rsidRPr="0097784F">
        <w:rPr>
          <w:szCs w:val="24"/>
        </w:rPr>
        <w:t xml:space="preserve"> </w:t>
      </w:r>
      <w:r w:rsidR="00C60513" w:rsidRPr="0097784F">
        <w:rPr>
          <w:szCs w:val="24"/>
        </w:rPr>
        <w:t xml:space="preserve">Just as </w:t>
      </w:r>
      <w:r w:rsidR="00DF4EF9" w:rsidRPr="0097784F">
        <w:rPr>
          <w:szCs w:val="24"/>
        </w:rPr>
        <w:t xml:space="preserve">Aldrich </w:t>
      </w:r>
      <w:r w:rsidR="00C60513" w:rsidRPr="0097784F">
        <w:rPr>
          <w:szCs w:val="24"/>
        </w:rPr>
        <w:t xml:space="preserve">prepared to </w:t>
      </w:r>
      <w:r w:rsidR="00DF4EF9" w:rsidRPr="0097784F">
        <w:rPr>
          <w:szCs w:val="24"/>
        </w:rPr>
        <w:t xml:space="preserve">release </w:t>
      </w:r>
      <w:r w:rsidR="00C60513" w:rsidRPr="0097784F">
        <w:rPr>
          <w:szCs w:val="24"/>
        </w:rPr>
        <w:t xml:space="preserve">his plan, </w:t>
      </w:r>
      <w:r w:rsidR="00DF4EF9" w:rsidRPr="0097784F">
        <w:rPr>
          <w:szCs w:val="24"/>
        </w:rPr>
        <w:t>hearings on the so-called “money trust,” led by Louisiana Democrat Arsene Pujo (himself a former member of Aldrich’s National Monetary Commission)</w:t>
      </w:r>
      <w:r w:rsidR="00C60513" w:rsidRPr="0097784F">
        <w:rPr>
          <w:szCs w:val="24"/>
        </w:rPr>
        <w:t xml:space="preserve"> catapulted into the headlines</w:t>
      </w:r>
      <w:r w:rsidR="00DF4EF9" w:rsidRPr="0097784F">
        <w:rPr>
          <w:szCs w:val="24"/>
        </w:rPr>
        <w:t>. In these hearings, led by famed lawyer Samuel Untermyer, JP Morgan himself appeared to answer the charge that the nation’s money and credit were subject to the same kind of monopolistic control as its sugar, steel, oil, or railroads had been. The charge was that these New York bankers were using “other people’s money,” to quote the title of the book that Louis Brandeis published in the wake of the hearings, to enrich themselves at the expense of the rest of society.</w:t>
      </w:r>
      <w:r w:rsidR="00DF4EF9" w:rsidRPr="0097784F">
        <w:rPr>
          <w:szCs w:val="24"/>
          <w:vertAlign w:val="superscript"/>
        </w:rPr>
        <w:footnoteReference w:id="78"/>
      </w:r>
      <w:r w:rsidR="00DF4EF9" w:rsidRPr="0097784F">
        <w:rPr>
          <w:szCs w:val="24"/>
        </w:rPr>
        <w:t xml:space="preserve"> </w:t>
      </w:r>
    </w:p>
    <w:p w14:paraId="1C294659" w14:textId="77777777" w:rsidR="00AF187A" w:rsidRPr="0097784F" w:rsidRDefault="00C60513" w:rsidP="00DF4EF9">
      <w:pPr>
        <w:tabs>
          <w:tab w:val="left" w:pos="360"/>
        </w:tabs>
        <w:spacing w:line="240" w:lineRule="auto"/>
        <w:rPr>
          <w:szCs w:val="24"/>
        </w:rPr>
      </w:pPr>
      <w:r w:rsidRPr="0097784F">
        <w:rPr>
          <w:szCs w:val="24"/>
        </w:rPr>
        <w:tab/>
        <w:t xml:space="preserve">JP Morgan was at the center of these hearings, and not in a way that pleased him or, largely, impressed the public. </w:t>
      </w:r>
      <w:r w:rsidR="00DF4EF9" w:rsidRPr="0097784F">
        <w:rPr>
          <w:szCs w:val="24"/>
        </w:rPr>
        <w:t>As Ron Chernow, one of Morgan’s biographers, wrote Morgan’s “epigrammatic sayings . . .  appear against an arid backdrop of denials and monosyllabic grunts, as if he wouldn’t concede the hearing’s legitimacy.”</w:t>
      </w:r>
      <w:r w:rsidR="00DF4EF9" w:rsidRPr="0097784F">
        <w:rPr>
          <w:szCs w:val="24"/>
          <w:vertAlign w:val="superscript"/>
        </w:rPr>
        <w:footnoteReference w:id="79"/>
      </w:r>
      <w:r w:rsidR="00AF187A" w:rsidRPr="0097784F">
        <w:rPr>
          <w:szCs w:val="24"/>
        </w:rPr>
        <w:t xml:space="preserve"> </w:t>
      </w:r>
    </w:p>
    <w:p w14:paraId="6F55C084" w14:textId="1C17EB00" w:rsidR="00DF4EF9" w:rsidRPr="0097784F" w:rsidRDefault="00AF187A" w:rsidP="00AF187A">
      <w:pPr>
        <w:tabs>
          <w:tab w:val="left" w:pos="360"/>
        </w:tabs>
        <w:spacing w:line="240" w:lineRule="auto"/>
        <w:rPr>
          <w:rFonts w:eastAsia="Times New Roman"/>
          <w:szCs w:val="24"/>
        </w:rPr>
      </w:pPr>
      <w:r w:rsidRPr="0097784F">
        <w:rPr>
          <w:szCs w:val="24"/>
        </w:rPr>
        <w:tab/>
        <w:t>The public sentiment turned sourly against this show of haughtiness as t</w:t>
      </w:r>
      <w:r w:rsidR="00DF4EF9" w:rsidRPr="0097784F">
        <w:rPr>
          <w:szCs w:val="24"/>
        </w:rPr>
        <w:t xml:space="preserve">he Money Trust hearings straddled the 1912 election, </w:t>
      </w:r>
      <w:r w:rsidRPr="0097784F">
        <w:rPr>
          <w:szCs w:val="24"/>
        </w:rPr>
        <w:t xml:space="preserve">the election that would determine the legislative agenda of the 1913 congressional session. </w:t>
      </w:r>
      <w:r w:rsidR="00270EC4">
        <w:rPr>
          <w:szCs w:val="24"/>
        </w:rPr>
        <w:t>This shift in sentiment and the results of the highly contingent election of 1912 made a profound difference in the final shape of the Fed’s structure.</w:t>
      </w:r>
    </w:p>
    <w:p w14:paraId="47C768C3" w14:textId="56A46920" w:rsidR="00DF4EF9" w:rsidRPr="0097784F" w:rsidRDefault="00DF4EF9" w:rsidP="00DF4EF9">
      <w:pPr>
        <w:pStyle w:val="Document"/>
        <w:spacing w:line="240" w:lineRule="auto"/>
      </w:pPr>
      <w:r w:rsidRPr="0097784F">
        <w:t xml:space="preserve">Few presidential elections in U.S. history match </w:t>
      </w:r>
      <w:r w:rsidR="00AF187A" w:rsidRPr="0097784F">
        <w:t xml:space="preserve">the 1912 Election </w:t>
      </w:r>
      <w:r w:rsidRPr="0097784F">
        <w:t xml:space="preserve">for its drama. Gone was the staid front porch campaigns between two senior partisans. Instead, the election pitted two U.S. presidents, Theodore Roosevelt and William Howard Taft, against Woodrow Wilson, a college president who had entered politics just two years before. On the edge, but not the fringe, was the most popular socialist in American history, Eugene Debs, who captured 5% of the vote. Historians have debated </w:t>
      </w:r>
      <w:r w:rsidRPr="0097784F">
        <w:lastRenderedPageBreak/>
        <w:t>how much policy daylight stood between the three main candidates</w:t>
      </w:r>
      <w:r w:rsidRPr="0097784F">
        <w:rPr>
          <w:rStyle w:val="FootnoteReference"/>
          <w:rFonts w:ascii="Garamond" w:eastAsiaTheme="majorEastAsia" w:hAnsi="Garamond"/>
        </w:rPr>
        <w:footnoteReference w:id="80"/>
      </w:r>
      <w:r w:rsidRPr="0097784F">
        <w:t>—although there was little doubt that Debs represented something very different than the others—the perception at the time and continuing today was that the aspirations of each candidate represented distinct approaches to the role of government in society. In Cooper’s words, the 1912 election “verged on political philosophy.”</w:t>
      </w:r>
      <w:r w:rsidRPr="0097784F">
        <w:rPr>
          <w:vertAlign w:val="superscript"/>
        </w:rPr>
        <w:footnoteReference w:id="81"/>
      </w:r>
      <w:r w:rsidRPr="0097784F">
        <w:t xml:space="preserve"> To Milkis, the election was host to the “central political events of the 20</w:t>
      </w:r>
      <w:r w:rsidRPr="0097784F">
        <w:rPr>
          <w:vertAlign w:val="superscript"/>
        </w:rPr>
        <w:t>th</w:t>
      </w:r>
      <w:r w:rsidRPr="0097784F">
        <w:t xml:space="preserve"> century: the rise of direct democracy and the expansion of federal administrative power.”</w:t>
      </w:r>
      <w:r w:rsidRPr="0097784F">
        <w:rPr>
          <w:rStyle w:val="FootnoteReference"/>
          <w:rFonts w:ascii="Garamond" w:eastAsiaTheme="majorEastAsia" w:hAnsi="Garamond"/>
        </w:rPr>
        <w:footnoteReference w:id="82"/>
      </w:r>
      <w:r w:rsidRPr="0097784F">
        <w:t xml:space="preserve">  </w:t>
      </w:r>
    </w:p>
    <w:p w14:paraId="4FF84607" w14:textId="77777777" w:rsidR="00AF187A" w:rsidRPr="0097784F" w:rsidRDefault="00AF187A" w:rsidP="00DF4EF9">
      <w:pPr>
        <w:pStyle w:val="Document"/>
        <w:spacing w:line="240" w:lineRule="auto"/>
      </w:pPr>
      <w:r w:rsidRPr="0097784F">
        <w:t xml:space="preserve">Had Taft not used the party machinery to block Roosevelt’s nomination—or had Roosevelt retired with grace following his defeat for that nomination—it is very likely that Republicans would have carried the election. This element of the electoral consequences for 1912 mattered enormously, but not because of the difference in the ideas about central banking of the various candidates. </w:t>
      </w:r>
      <w:r w:rsidR="00DF4EF9" w:rsidRPr="0097784F">
        <w:t xml:space="preserve">The question of money was rarely debated during the election, with much more focus on the problem of trusts and corporations generally. </w:t>
      </w:r>
    </w:p>
    <w:p w14:paraId="619CAC17" w14:textId="6FE77F09" w:rsidR="00DF4EF9" w:rsidRPr="0097784F" w:rsidRDefault="00DF4EF9" w:rsidP="00DF4EF9">
      <w:pPr>
        <w:pStyle w:val="Document"/>
        <w:spacing w:line="240" w:lineRule="auto"/>
      </w:pPr>
      <w:r w:rsidRPr="0097784F">
        <w:t xml:space="preserve">The </w:t>
      </w:r>
      <w:r w:rsidR="00AF187A" w:rsidRPr="0097784F">
        <w:t xml:space="preserve">three </w:t>
      </w:r>
      <w:r w:rsidRPr="0097784F">
        <w:t>party platforms reflected fealty or hostility to the Aldrich Bill, by name for the Democrats and Progressives, by concept for the Republicans. “We oppose the so-called Aldrich bill or the establishment of a central bank,” the Democratic platform declared, and sought legislation that would protect against “control of dominion by what is known as the money trust.”</w:t>
      </w:r>
      <w:r w:rsidRPr="0097784F">
        <w:rPr>
          <w:rStyle w:val="FootnoteReference"/>
          <w:rFonts w:ascii="Garamond" w:eastAsiaTheme="majorEastAsia" w:hAnsi="Garamond"/>
        </w:rPr>
        <w:footnoteReference w:id="83"/>
      </w:r>
      <w:r w:rsidRPr="0097784F">
        <w:t xml:space="preserve"> </w:t>
      </w:r>
    </w:p>
    <w:p w14:paraId="5282DF6C" w14:textId="0F8E5C33" w:rsidR="00DF4EF9" w:rsidRPr="0097784F" w:rsidRDefault="00DF4EF9" w:rsidP="00DF4EF9">
      <w:pPr>
        <w:pStyle w:val="Document"/>
        <w:spacing w:line="240" w:lineRule="auto"/>
      </w:pPr>
      <w:r w:rsidRPr="0097784F">
        <w:t xml:space="preserve">Whether by luck, or because their ideas were in fact much </w:t>
      </w:r>
      <w:r w:rsidRPr="0097784F">
        <w:lastRenderedPageBreak/>
        <w:t>more in line with the direction that Wilson would guide the legislation during the subsequent legislative session, the Rooseveltian Progressive Party came the closest to the final proposal: “The issue of currency is fundamentally government function,” with control “lodged with the Government and should be protected from domination manipulation by Wall Street or any special interests.” For that reason, the Progressives were “opposed to the so-called Aldrich currency bill, because its provisions would place our currency and credit system in private hands, not subject to effective public control.”</w:t>
      </w:r>
      <w:r w:rsidRPr="0097784F">
        <w:rPr>
          <w:rStyle w:val="FootnoteReference"/>
          <w:rFonts w:ascii="Garamond" w:eastAsiaTheme="majorEastAsia" w:hAnsi="Garamond"/>
        </w:rPr>
        <w:footnoteReference w:id="84"/>
      </w:r>
    </w:p>
    <w:p w14:paraId="01C20FC0" w14:textId="77777777" w:rsidR="00DF4EF9" w:rsidRPr="0097784F" w:rsidRDefault="00DF4EF9" w:rsidP="00DF4EF9">
      <w:pPr>
        <w:pStyle w:val="Document"/>
        <w:spacing w:line="240" w:lineRule="auto"/>
      </w:pPr>
      <w:r w:rsidRPr="0097784F">
        <w:t>The Republicans were vaguer about their support. “The Republican party has always stood for a sound currency and for safe banking methods,” the platform declared in its opening line on the subject. But the methods for reaching that sound currency and safe methods were not apparent, except in broad commitments to prevent panics, protect farmers, and otherwise protect the “the independence of individual banks, whether organized under national or State charters” against “any possibility of domination by sectional, financial, or political interests.”</w:t>
      </w:r>
      <w:r w:rsidRPr="0097784F">
        <w:rPr>
          <w:rStyle w:val="FootnoteReference"/>
          <w:rFonts w:ascii="Garamond" w:eastAsiaTheme="majorEastAsia" w:hAnsi="Garamond"/>
        </w:rPr>
        <w:footnoteReference w:id="85"/>
      </w:r>
    </w:p>
    <w:p w14:paraId="0CE2E03E" w14:textId="1F016B64" w:rsidR="00DF4EF9" w:rsidRPr="0097784F" w:rsidRDefault="00DF4EF9" w:rsidP="00DF4EF9">
      <w:pPr>
        <w:pStyle w:val="Document"/>
        <w:spacing w:line="240" w:lineRule="auto"/>
      </w:pPr>
      <w:r w:rsidRPr="0097784F">
        <w:t xml:space="preserve">The scant attention paid to legislative specifics in the party platforms matched the speechmaking of the campaign. The campaign was not focused on the question. And yet, the consequences of the election were enormous. </w:t>
      </w:r>
    </w:p>
    <w:p w14:paraId="76C1536F" w14:textId="0D28E6E1" w:rsidR="00DF4EF9" w:rsidRPr="0097784F" w:rsidRDefault="00DF4EF9" w:rsidP="00DF4EF9">
      <w:pPr>
        <w:pStyle w:val="Heading2"/>
        <w:tabs>
          <w:tab w:val="left" w:pos="360"/>
        </w:tabs>
        <w:spacing w:line="240" w:lineRule="auto"/>
        <w:rPr>
          <w:szCs w:val="24"/>
        </w:rPr>
      </w:pPr>
      <w:bookmarkStart w:id="8" w:name="_Toc480185102"/>
      <w:r w:rsidRPr="0097784F">
        <w:rPr>
          <w:szCs w:val="24"/>
        </w:rPr>
        <w:t xml:space="preserve">The Legislative Debate: </w:t>
      </w:r>
      <w:bookmarkEnd w:id="8"/>
      <w:r w:rsidR="00270EC4">
        <w:rPr>
          <w:szCs w:val="24"/>
        </w:rPr>
        <w:t>Structure Over Functions</w:t>
      </w:r>
    </w:p>
    <w:p w14:paraId="71AAC0E6" w14:textId="4B782DAD" w:rsidR="00DF4EF9" w:rsidRPr="0097784F" w:rsidRDefault="00DF4EF9" w:rsidP="00DF4EF9">
      <w:pPr>
        <w:tabs>
          <w:tab w:val="left" w:pos="360"/>
        </w:tabs>
        <w:spacing w:line="240" w:lineRule="auto"/>
        <w:rPr>
          <w:szCs w:val="24"/>
        </w:rPr>
      </w:pPr>
      <w:r w:rsidRPr="0097784F">
        <w:rPr>
          <w:szCs w:val="24"/>
        </w:rPr>
        <w:tab/>
        <w:t xml:space="preserve">Given the general indifference the presidential candidates seemed to display on the question, what made the final Federal Reserve Act such a partisan affair? In the early glow of the Federal Reserve System’s perceived successes, the actors themselves published memoirs either claiming that the Act looked essentially </w:t>
      </w:r>
      <w:r w:rsidRPr="0097784F">
        <w:rPr>
          <w:szCs w:val="24"/>
        </w:rPr>
        <w:lastRenderedPageBreak/>
        <w:t>the same as the Aldrich Bill—Paul Warburg, principally</w:t>
      </w:r>
      <w:r w:rsidRPr="0097784F">
        <w:rPr>
          <w:rStyle w:val="FootnoteReference"/>
          <w:rFonts w:ascii="Garamond" w:hAnsi="Garamond"/>
          <w:szCs w:val="24"/>
        </w:rPr>
        <w:footnoteReference w:id="86"/>
      </w:r>
      <w:r w:rsidRPr="0097784F">
        <w:rPr>
          <w:szCs w:val="24"/>
        </w:rPr>
        <w:t>—and those that attempted to discredit the Aldrich bill entirely.</w:t>
      </w:r>
      <w:r w:rsidRPr="0097784F">
        <w:rPr>
          <w:rStyle w:val="FootnoteReference"/>
          <w:rFonts w:ascii="Garamond" w:hAnsi="Garamond"/>
          <w:szCs w:val="24"/>
        </w:rPr>
        <w:footnoteReference w:id="87"/>
      </w:r>
      <w:r w:rsidRPr="0097784F">
        <w:rPr>
          <w:szCs w:val="24"/>
        </w:rPr>
        <w:t xml:space="preserve"> </w:t>
      </w:r>
    </w:p>
    <w:p w14:paraId="0EBC1B1C" w14:textId="3B103B6A" w:rsidR="00DF4EF9" w:rsidRPr="0097784F" w:rsidRDefault="00AF187A" w:rsidP="00DF4EF9">
      <w:pPr>
        <w:tabs>
          <w:tab w:val="left" w:pos="360"/>
        </w:tabs>
        <w:spacing w:line="240" w:lineRule="auto"/>
        <w:rPr>
          <w:szCs w:val="24"/>
        </w:rPr>
      </w:pPr>
      <w:r w:rsidRPr="0097784F">
        <w:rPr>
          <w:szCs w:val="24"/>
        </w:rPr>
        <w:tab/>
        <w:t>In a real sense, Aldrich and Warburg are correct: most of the functions of the Federal Reserve System looked very similar to the National Reserve Association designed by Aldrich and his team.</w:t>
      </w:r>
      <w:r w:rsidRPr="0097784F">
        <w:rPr>
          <w:rStyle w:val="FootnoteReference"/>
          <w:rFonts w:ascii="Garamond" w:hAnsi="Garamond"/>
          <w:szCs w:val="24"/>
        </w:rPr>
        <w:footnoteReference w:id="88"/>
      </w:r>
      <w:r w:rsidRPr="0097784F">
        <w:rPr>
          <w:szCs w:val="24"/>
        </w:rPr>
        <w:t xml:space="preserve"> But the </w:t>
      </w:r>
      <w:r w:rsidRPr="0097784F">
        <w:rPr>
          <w:i/>
          <w:szCs w:val="24"/>
        </w:rPr>
        <w:t xml:space="preserve">structure </w:t>
      </w:r>
      <w:r w:rsidRPr="0097784F">
        <w:rPr>
          <w:szCs w:val="24"/>
        </w:rPr>
        <w:t xml:space="preserve">of the Federal Reserve System was a </w:t>
      </w:r>
      <w:r w:rsidR="00CC1152">
        <w:rPr>
          <w:szCs w:val="24"/>
        </w:rPr>
        <w:t>result</w:t>
      </w:r>
      <w:r w:rsidRPr="0097784F">
        <w:rPr>
          <w:szCs w:val="24"/>
        </w:rPr>
        <w:t xml:space="preserve"> of 1912, not 1907, of </w:t>
      </w:r>
      <w:r w:rsidR="00CC1152">
        <w:rPr>
          <w:szCs w:val="24"/>
        </w:rPr>
        <w:t xml:space="preserve">Woodrow </w:t>
      </w:r>
      <w:r w:rsidRPr="0097784F">
        <w:rPr>
          <w:szCs w:val="24"/>
        </w:rPr>
        <w:t xml:space="preserve">Wilson, not </w:t>
      </w:r>
      <w:r w:rsidR="00CC1152">
        <w:rPr>
          <w:szCs w:val="24"/>
        </w:rPr>
        <w:t xml:space="preserve">Nelson </w:t>
      </w:r>
      <w:r w:rsidRPr="0097784F">
        <w:rPr>
          <w:szCs w:val="24"/>
        </w:rPr>
        <w:t xml:space="preserve">Aldrich. The enthusiasm for the finer points of money had waned substantially. </w:t>
      </w:r>
      <w:r w:rsidR="00DF4EF9" w:rsidRPr="0097784F">
        <w:rPr>
          <w:szCs w:val="24"/>
        </w:rPr>
        <w:t xml:space="preserve">Woodrow Wilson </w:t>
      </w:r>
      <w:r w:rsidRPr="0097784F">
        <w:rPr>
          <w:szCs w:val="24"/>
        </w:rPr>
        <w:t>summed up the mood this way</w:t>
      </w:r>
      <w:r w:rsidR="00DF4EF9" w:rsidRPr="0097784F">
        <w:rPr>
          <w:szCs w:val="24"/>
        </w:rPr>
        <w:t>. “Let bankers explain the technical features of the new system,” he said. “Suffice it here to say that it provides a currency</w:t>
      </w:r>
      <w:r w:rsidR="00CC1152">
        <w:rPr>
          <w:szCs w:val="24"/>
        </w:rPr>
        <w:t>” that is based in sound economic principles.</w:t>
      </w:r>
      <w:r w:rsidR="00DF4EF9" w:rsidRPr="0097784F">
        <w:rPr>
          <w:rStyle w:val="FootnoteReference"/>
          <w:rFonts w:ascii="Garamond" w:hAnsi="Garamond"/>
          <w:szCs w:val="24"/>
        </w:rPr>
        <w:footnoteReference w:id="89"/>
      </w:r>
      <w:r w:rsidR="00DF4EF9" w:rsidRPr="0097784F">
        <w:rPr>
          <w:szCs w:val="24"/>
        </w:rPr>
        <w:t xml:space="preserve"> </w:t>
      </w:r>
      <w:r w:rsidR="00FC4523">
        <w:rPr>
          <w:szCs w:val="24"/>
        </w:rPr>
        <w:t>T</w:t>
      </w:r>
      <w:r w:rsidR="00DF4EF9" w:rsidRPr="0097784F">
        <w:rPr>
          <w:szCs w:val="24"/>
        </w:rPr>
        <w:t>he Fed couldn’t issue money out of nothin</w:t>
      </w:r>
      <w:r w:rsidR="00FC4523">
        <w:rPr>
          <w:szCs w:val="24"/>
        </w:rPr>
        <w:t>g, Wilson averred</w:t>
      </w:r>
      <w:r w:rsidR="00DF4EF9" w:rsidRPr="0097784F">
        <w:rPr>
          <w:szCs w:val="24"/>
        </w:rPr>
        <w:t xml:space="preserve">. </w:t>
      </w:r>
      <w:r w:rsidR="0027111E" w:rsidRPr="0097784F">
        <w:rPr>
          <w:szCs w:val="24"/>
        </w:rPr>
        <w:t xml:space="preserve">But most people need not concern themselves with the technicalities. </w:t>
      </w:r>
    </w:p>
    <w:p w14:paraId="55A1EB69" w14:textId="7B2B4EFC" w:rsidR="00DF4EF9" w:rsidRPr="0097784F" w:rsidRDefault="0027111E" w:rsidP="00DF4EF9">
      <w:pPr>
        <w:pStyle w:val="Document"/>
        <w:spacing w:line="240" w:lineRule="auto"/>
        <w:ind w:firstLine="0"/>
        <w:rPr>
          <w:rFonts w:eastAsia="MS Mincho"/>
          <w:kern w:val="16"/>
          <w14:ligatures w14:val="standardContextual"/>
          <w14:numForm w14:val="oldStyle"/>
          <w14:numSpacing w14:val="proportional"/>
          <w14:cntxtAlts/>
        </w:rPr>
      </w:pPr>
      <w:r w:rsidRPr="0097784F">
        <w:rPr>
          <w:rFonts w:eastAsia="MS Mincho"/>
          <w:kern w:val="16"/>
          <w14:ligatures w14:val="standardContextual"/>
          <w14:numForm w14:val="oldStyle"/>
          <w14:numSpacing w14:val="proportional"/>
          <w14:cntxtAlts/>
        </w:rPr>
        <w:tab/>
      </w:r>
      <w:r w:rsidR="00DF4EF9" w:rsidRPr="0097784F">
        <w:rPr>
          <w:rFonts w:eastAsia="MS Mincho"/>
          <w:kern w:val="16"/>
          <w14:ligatures w14:val="standardContextual"/>
          <w14:numForm w14:val="oldStyle"/>
          <w14:numSpacing w14:val="proportional"/>
          <w14:cntxtAlts/>
        </w:rPr>
        <w:t xml:space="preserve">Unlike the debates through much of the 19th century, the fight over the institutional nature of money—its functions—weren’t a partisan affair, but only because the Democrats had so fully </w:t>
      </w:r>
      <w:r w:rsidR="00DC4D6C">
        <w:rPr>
          <w:rFonts w:eastAsia="MS Mincho"/>
          <w:kern w:val="16"/>
          <w14:ligatures w14:val="standardContextual"/>
          <w14:numForm w14:val="oldStyle"/>
          <w14:numSpacing w14:val="proportional"/>
          <w14:cntxtAlts/>
        </w:rPr>
        <w:t>adopted</w:t>
      </w:r>
      <w:r w:rsidR="00DF4EF9" w:rsidRPr="0097784F">
        <w:rPr>
          <w:rFonts w:eastAsia="MS Mincho"/>
          <w:kern w:val="16"/>
          <w14:ligatures w14:val="standardContextual"/>
          <w14:numForm w14:val="oldStyle"/>
          <w14:numSpacing w14:val="proportional"/>
          <w14:cntxtAlts/>
        </w:rPr>
        <w:t xml:space="preserve"> Republican ideology. Some Democratic members of Congress resented the party’s change: the platform had, after all, rejected the Aldrich bill, and now it seemed the Democratic Congress was poised to enact it. But through masterful use of his popularity, Wilson—with the assistance of </w:t>
      </w:r>
      <w:r w:rsidR="00DC4D6C">
        <w:rPr>
          <w:rFonts w:eastAsia="MS Mincho"/>
          <w:kern w:val="16"/>
          <w14:ligatures w14:val="standardContextual"/>
          <w14:numForm w14:val="oldStyle"/>
          <w14:numSpacing w14:val="proportional"/>
          <w14:cntxtAlts/>
        </w:rPr>
        <w:t xml:space="preserve">the conservative Democrat </w:t>
      </w:r>
      <w:r w:rsidR="00DF4EF9" w:rsidRPr="0097784F">
        <w:rPr>
          <w:rFonts w:eastAsia="MS Mincho"/>
          <w:kern w:val="16"/>
          <w14:ligatures w14:val="standardContextual"/>
          <w14:numForm w14:val="oldStyle"/>
          <w14:numSpacing w14:val="proportional"/>
          <w14:cntxtAlts/>
        </w:rPr>
        <w:t xml:space="preserve">Carter Glass running the political scene through the House of Representatives—succeeded in bringing the Democrats into line. Those who viewed the Federal Reserve Act as a </w:t>
      </w:r>
      <w:r w:rsidR="00DF4EF9" w:rsidRPr="0097784F">
        <w:rPr>
          <w:rFonts w:eastAsia="MS Mincho"/>
          <w:kern w:val="16"/>
          <w14:ligatures w14:val="standardContextual"/>
          <w14:numForm w14:val="oldStyle"/>
          <w14:numSpacing w14:val="proportional"/>
          <w14:cntxtAlts/>
        </w:rPr>
        <w:lastRenderedPageBreak/>
        <w:t>dressed up version of the Aldrich Bill were convinced or compelled to keep silent.</w:t>
      </w:r>
      <w:r w:rsidR="00DF4EF9" w:rsidRPr="00DC4D6C">
        <w:rPr>
          <w:rFonts w:eastAsia="MS Mincho"/>
          <w:kern w:val="16"/>
          <w:vertAlign w:val="superscript"/>
          <w14:cntxtAlts/>
        </w:rPr>
        <w:footnoteReference w:id="90"/>
      </w:r>
    </w:p>
    <w:p w14:paraId="4E1F7B8C" w14:textId="146CC05F" w:rsidR="00DF4EF9" w:rsidRPr="0097784F" w:rsidRDefault="00DF4EF9" w:rsidP="00DF4EF9">
      <w:pPr>
        <w:pStyle w:val="Document"/>
        <w:spacing w:line="240" w:lineRule="auto"/>
        <w:ind w:firstLine="0"/>
        <w:rPr>
          <w:rFonts w:eastAsia="MS Mincho"/>
          <w:kern w:val="16"/>
          <w14:ligatures w14:val="standardContextual"/>
          <w14:numForm w14:val="oldStyle"/>
          <w14:numSpacing w14:val="proportional"/>
          <w14:cntxtAlts/>
        </w:rPr>
      </w:pPr>
      <w:r w:rsidRPr="0097784F">
        <w:tab/>
      </w:r>
      <w:r w:rsidR="00502103">
        <w:rPr>
          <w:rFonts w:eastAsia="MS Mincho"/>
          <w:kern w:val="16"/>
          <w14:ligatures w14:val="standardContextual"/>
          <w14:numForm w14:val="oldStyle"/>
          <w14:numSpacing w14:val="proportional"/>
          <w14:cntxtAlts/>
        </w:rPr>
        <w:t xml:space="preserve">If the functions of money weren’t widely contested, the institutional structure of central banking were highly contested. </w:t>
      </w:r>
      <w:r w:rsidRPr="0097784F">
        <w:rPr>
          <w:rFonts w:eastAsia="MS Mincho"/>
          <w:kern w:val="16"/>
          <w14:ligatures w14:val="standardContextual"/>
          <w14:numForm w14:val="oldStyle"/>
          <w14:numSpacing w14:val="proportional"/>
          <w14:cntxtAlts/>
        </w:rPr>
        <w:t xml:space="preserve">The </w:t>
      </w:r>
      <w:r w:rsidR="00502103">
        <w:rPr>
          <w:rFonts w:eastAsia="MS Mincho"/>
          <w:kern w:val="16"/>
          <w14:ligatures w14:val="standardContextual"/>
          <w14:numForm w14:val="oldStyle"/>
          <w14:numSpacing w14:val="proportional"/>
          <w14:cntxtAlts/>
        </w:rPr>
        <w:t xml:space="preserve">institutional </w:t>
      </w:r>
      <w:r w:rsidRPr="0097784F">
        <w:rPr>
          <w:rFonts w:eastAsia="MS Mincho"/>
          <w:kern w:val="16"/>
          <w14:ligatures w14:val="standardContextual"/>
          <w14:numForm w14:val="oldStyle"/>
          <w14:numSpacing w14:val="proportional"/>
          <w14:cntxtAlts/>
        </w:rPr>
        <w:t>question became oriented toward two poles: whether the structure would be private or public, and whether it would be centralized or decentralized. Paul Warburg, focused as he was on the provision of liquidity throughout the system in case of panics, feared public influence over what he, a private banker in the old-school European banking tradition, viewed as an inherently private function. Glass didn’t disagree about the nefarious influence of government</w:t>
      </w:r>
      <w:r w:rsidR="00502103">
        <w:rPr>
          <w:rFonts w:eastAsia="MS Mincho"/>
          <w:kern w:val="16"/>
          <w14:ligatures w14:val="standardContextual"/>
          <w14:numForm w14:val="oldStyle"/>
          <w14:numSpacing w14:val="proportional"/>
          <w14:cntxtAlts/>
        </w:rPr>
        <w:t xml:space="preserve">, but his preference </w:t>
      </w:r>
      <w:r w:rsidRPr="0097784F">
        <w:rPr>
          <w:rFonts w:eastAsia="MS Mincho"/>
          <w:kern w:val="16"/>
          <w14:ligatures w14:val="standardContextual"/>
          <w14:numForm w14:val="oldStyle"/>
          <w14:numSpacing w14:val="proportional"/>
          <w14:cntxtAlts/>
        </w:rPr>
        <w:t xml:space="preserve">wasn’t to give the keys of the financial kingdom to the </w:t>
      </w:r>
      <w:r w:rsidR="00502103">
        <w:rPr>
          <w:rFonts w:eastAsia="MS Mincho"/>
          <w:kern w:val="16"/>
          <w14:ligatures w14:val="standardContextual"/>
          <w14:numForm w14:val="oldStyle"/>
          <w14:numSpacing w14:val="proportional"/>
          <w14:cntxtAlts/>
        </w:rPr>
        <w:t>New York City bankers</w:t>
      </w:r>
      <w:r w:rsidRPr="0097784F">
        <w:rPr>
          <w:rFonts w:eastAsia="MS Mincho"/>
          <w:kern w:val="16"/>
          <w14:ligatures w14:val="standardContextual"/>
          <w14:numForm w14:val="oldStyle"/>
          <w14:numSpacing w14:val="proportional"/>
          <w14:cntxtAlts/>
        </w:rPr>
        <w:t xml:space="preserve">; it was to </w:t>
      </w:r>
      <w:r w:rsidR="00502103">
        <w:rPr>
          <w:rFonts w:eastAsia="MS Mincho"/>
          <w:kern w:val="16"/>
          <w14:ligatures w14:val="standardContextual"/>
          <w14:numForm w14:val="oldStyle"/>
          <w14:numSpacing w14:val="proportional"/>
          <w14:cntxtAlts/>
        </w:rPr>
        <w:t xml:space="preserve">create a sea </w:t>
      </w:r>
      <w:r w:rsidRPr="0097784F">
        <w:rPr>
          <w:rFonts w:eastAsia="MS Mincho"/>
          <w:kern w:val="16"/>
          <w14:ligatures w14:val="standardContextual"/>
          <w14:numForm w14:val="oldStyle"/>
          <w14:numSpacing w14:val="proportional"/>
          <w14:cntxtAlts/>
        </w:rPr>
        <w:t xml:space="preserve">of </w:t>
      </w:r>
      <w:r w:rsidR="00502103">
        <w:rPr>
          <w:rFonts w:eastAsia="MS Mincho"/>
          <w:kern w:val="16"/>
          <w14:ligatures w14:val="standardContextual"/>
          <w14:numForm w14:val="oldStyle"/>
          <w14:numSpacing w14:val="proportional"/>
          <w14:cntxtAlts/>
        </w:rPr>
        <w:t xml:space="preserve">private </w:t>
      </w:r>
      <w:r w:rsidRPr="0097784F">
        <w:rPr>
          <w:rFonts w:eastAsia="MS Mincho"/>
          <w:kern w:val="16"/>
          <w14:ligatures w14:val="standardContextual"/>
          <w14:numForm w14:val="oldStyle"/>
          <w14:numSpacing w14:val="proportional"/>
          <w14:cntxtAlts/>
        </w:rPr>
        <w:t xml:space="preserve">central banks spread throughout the country. </w:t>
      </w:r>
    </w:p>
    <w:p w14:paraId="28D380B4" w14:textId="77777777" w:rsidR="00DF4EF9" w:rsidRPr="0097784F" w:rsidRDefault="00DF4EF9" w:rsidP="00DF4EF9">
      <w:pPr>
        <w:pStyle w:val="Document"/>
        <w:spacing w:line="240" w:lineRule="auto"/>
        <w:ind w:firstLine="0"/>
        <w:rPr>
          <w:rFonts w:eastAsia="MS Mincho"/>
          <w:kern w:val="16"/>
          <w14:ligatures w14:val="standardContextual"/>
          <w14:numForm w14:val="oldStyle"/>
          <w14:numSpacing w14:val="proportional"/>
          <w14:cntxtAlts/>
        </w:rPr>
      </w:pPr>
      <w:r w:rsidRPr="0097784F">
        <w:rPr>
          <w:rFonts w:eastAsia="MS Mincho"/>
          <w:kern w:val="16"/>
          <w14:ligatures w14:val="standardContextual"/>
          <w14:numForm w14:val="oldStyle"/>
          <w14:numSpacing w14:val="proportional"/>
          <w14:cntxtAlts/>
        </w:rPr>
        <w:tab/>
        <w:t xml:space="preserve">This preference is what prompted the “capstone” discussion that opens this chapter, and where Wilson’s influence was so influential. He wanted the private Reserve Banks, a real difference from the National Reserve Association in the Aldrich Bill, to have their autonomy but also be supervised by a governmental bureaucracy. </w:t>
      </w:r>
    </w:p>
    <w:p w14:paraId="54FD40DF" w14:textId="77777777" w:rsidR="00DF4EF9" w:rsidRPr="0097784F" w:rsidRDefault="00DF4EF9" w:rsidP="00DF4EF9">
      <w:pPr>
        <w:pStyle w:val="Document"/>
        <w:spacing w:line="240" w:lineRule="auto"/>
        <w:ind w:firstLine="0"/>
        <w:rPr>
          <w:rFonts w:eastAsia="MS Mincho"/>
          <w:kern w:val="16"/>
          <w14:ligatures w14:val="standardContextual"/>
          <w14:numForm w14:val="oldStyle"/>
          <w14:numSpacing w14:val="proportional"/>
          <w14:cntxtAlts/>
        </w:rPr>
      </w:pPr>
      <w:r w:rsidRPr="0097784F">
        <w:rPr>
          <w:rFonts w:eastAsia="MS Mincho"/>
          <w:kern w:val="16"/>
          <w14:ligatures w14:val="standardContextual"/>
          <w14:numForm w14:val="oldStyle"/>
          <w14:numSpacing w14:val="proportional"/>
          <w14:cntxtAlts/>
        </w:rPr>
        <w:tab/>
        <w:t xml:space="preserve">This student of governmental structures saw the opportunity for constitution making in the tradition of one of his heroes, James Madison. Wilson wanted public control, but recognized the need to compromise among the various factions. His proposal: a Washington-based, government-controlled supervisory board that he preferred on top of the essentially private, decentralized central banks flung by Carter Glass throughout the country. </w:t>
      </w:r>
    </w:p>
    <w:p w14:paraId="12AE8FCB" w14:textId="629484A2" w:rsidR="00DF4EF9" w:rsidRPr="0097784F" w:rsidRDefault="00DF4EF9" w:rsidP="00DF4EF9">
      <w:pPr>
        <w:pStyle w:val="Document"/>
        <w:spacing w:line="240" w:lineRule="auto"/>
        <w:ind w:firstLine="0"/>
        <w:rPr>
          <w:rFonts w:eastAsia="MS Mincho"/>
          <w:kern w:val="16"/>
          <w14:ligatures w14:val="standardContextual"/>
          <w14:numForm w14:val="oldStyle"/>
          <w14:numSpacing w14:val="proportional"/>
          <w14:cntxtAlts/>
        </w:rPr>
      </w:pPr>
      <w:r w:rsidRPr="0097784F">
        <w:rPr>
          <w:rFonts w:eastAsia="MS Mincho"/>
          <w:kern w:val="16"/>
          <w14:ligatures w14:val="standardContextual"/>
          <w14:numForm w14:val="oldStyle"/>
          <w14:numSpacing w14:val="proportional"/>
          <w14:cntxtAlts/>
        </w:rPr>
        <w:tab/>
        <w:t xml:space="preserve">Glass retells the key story of how Wilson came to embrace this “capstone” event in the legislative discussions. When bankers and Glass both protested the idea that a public board should govern the private reserve banks, Wilson imperiously asked, “Will one of you gentlemen tell me in what civilized country of the earth there are important government boards of control on which private interests are represented?” Hearing no objection, he followed up: “Which of you gentlemen thinks the railroads </w:t>
      </w:r>
      <w:r w:rsidRPr="0097784F">
        <w:rPr>
          <w:rFonts w:eastAsia="MS Mincho"/>
          <w:kern w:val="16"/>
          <w14:ligatures w14:val="standardContextual"/>
          <w14:numForm w14:val="oldStyle"/>
          <w14:numSpacing w14:val="proportional"/>
          <w14:cntxtAlts/>
        </w:rPr>
        <w:lastRenderedPageBreak/>
        <w:t>should select members of the Interstate Commerce Commission?” While the bankers continued to protest, Carter Glass was “converted to Wilson’s position before they had even exited the office.”</w:t>
      </w:r>
      <w:r w:rsidRPr="0097784F">
        <w:rPr>
          <w:rFonts w:eastAsia="MS Mincho"/>
          <w:kern w:val="16"/>
          <w:vertAlign w:val="superscript"/>
          <w14:cntxtAlts/>
        </w:rPr>
        <w:footnoteReference w:id="91"/>
      </w:r>
      <w:r w:rsidRPr="0097784F">
        <w:rPr>
          <w:rFonts w:eastAsia="MS Mincho"/>
          <w:kern w:val="16"/>
          <w14:ligatures w14:val="standardContextual"/>
          <w14:numForm w14:val="oldStyle"/>
          <w14:numSpacing w14:val="proportional"/>
          <w14:cntxtAlts/>
        </w:rPr>
        <w:t xml:space="preserve"> For all his love for Walter Bagehot, Wilson had clearly not looked very carefully at this question: had he done so, he would have known more about the structure of central banks in other jurisdictions, including the Bagehotian view of central bank governance.</w:t>
      </w:r>
      <w:r w:rsidR="00502103">
        <w:rPr>
          <w:rStyle w:val="FootnoteReference"/>
          <w:rFonts w:eastAsia="MS Mincho"/>
          <w:kern w:val="16"/>
          <w14:cntxtAlts/>
        </w:rPr>
        <w:footnoteReference w:id="92"/>
      </w:r>
      <w:r w:rsidRPr="0097784F">
        <w:rPr>
          <w:rFonts w:eastAsia="MS Mincho"/>
          <w:kern w:val="16"/>
          <w14:ligatures w14:val="standardContextual"/>
          <w14:numForm w14:val="oldStyle"/>
          <w14:numSpacing w14:val="proportional"/>
          <w14:cntxtAlts/>
        </w:rPr>
        <w:t xml:space="preserve"> Why the bankers didn’t correct him is not recorded in Glass’s memoir. </w:t>
      </w:r>
    </w:p>
    <w:p w14:paraId="4DCF1DFC" w14:textId="77777777" w:rsidR="00DF4EF9" w:rsidRPr="0097784F" w:rsidRDefault="00DF4EF9" w:rsidP="00DF4EF9">
      <w:pPr>
        <w:pStyle w:val="Document"/>
        <w:spacing w:line="240" w:lineRule="auto"/>
        <w:ind w:firstLine="0"/>
        <w:rPr>
          <w:rFonts w:eastAsia="MS Mincho"/>
          <w:kern w:val="16"/>
          <w14:ligatures w14:val="standardContextual"/>
          <w14:numForm w14:val="oldStyle"/>
          <w14:numSpacing w14:val="proportional"/>
          <w14:cntxtAlts/>
        </w:rPr>
      </w:pPr>
      <w:r w:rsidRPr="0097784F">
        <w:rPr>
          <w:rFonts w:eastAsia="MS Mincho"/>
          <w:kern w:val="16"/>
          <w14:ligatures w14:val="standardContextual"/>
          <w14:numForm w14:val="oldStyle"/>
          <w14:numSpacing w14:val="proportional"/>
          <w14:cntxtAlts/>
        </w:rPr>
        <w:tab/>
        <w:t>Wilson carried the day in what might be called the Wilsonian Compromise of 1913. Before Wilson, this hybrid institution did not exist in paper or in thought. The result was the leanly staffed Federal Reserve Board, based in Washington. The Board would include Secretary of the Treasury as the ex officio Chair of the System, with the Comptroller of the Currency—until then, the exclusive federal banking regulator—also serving on the Board. In addition to these two political appointees, the Board consisted of five Presidential appointees, serving ten-year terms each.</w:t>
      </w:r>
      <w:r w:rsidRPr="0097784F">
        <w:rPr>
          <w:rFonts w:eastAsia="MS Mincho"/>
          <w:kern w:val="16"/>
          <w14:cntxtAlts/>
        </w:rPr>
        <w:t xml:space="preserve"> </w:t>
      </w:r>
      <w:r w:rsidRPr="0097784F">
        <w:rPr>
          <w:rFonts w:eastAsia="MS Mincho"/>
          <w:kern w:val="16"/>
          <w14:ligatures w14:val="standardContextual"/>
          <w14:numForm w14:val="oldStyle"/>
          <w14:numSpacing w14:val="proportional"/>
          <w14:cntxtAlts/>
        </w:rPr>
        <w:t>The rest of the system consisted of “eight to twelve” Reserve Banks—the initial legislation didn’t set the definitive number. These Reserve Banks would each have a “Governor” and a nine-person board of directors. They would be the essentially private features of the System</w:t>
      </w:r>
      <w:r w:rsidRPr="0097784F">
        <w:rPr>
          <w:rFonts w:eastAsia="MS Mincho"/>
          <w:kern w:val="16"/>
          <w:vertAlign w:val="superscript"/>
          <w14:ligatures w14:val="standardContextual"/>
          <w14:numForm w14:val="oldStyle"/>
          <w14:numSpacing w14:val="proportional"/>
          <w14:cntxtAlts/>
        </w:rPr>
        <w:t>.</w:t>
      </w:r>
      <w:r w:rsidRPr="0097784F">
        <w:rPr>
          <w:rFonts w:eastAsia="MS Mincho"/>
          <w:kern w:val="16"/>
          <w:vertAlign w:val="superscript"/>
          <w14:ligatures w14:val="standardContextual"/>
          <w14:numForm w14:val="oldStyle"/>
          <w14:numSpacing w14:val="proportional"/>
          <w14:cntxtAlts/>
        </w:rPr>
        <w:footnoteReference w:id="93"/>
      </w:r>
    </w:p>
    <w:p w14:paraId="1DBE3214" w14:textId="5E1E7B3D" w:rsidR="00DF4EF9" w:rsidRDefault="00DF4EF9" w:rsidP="00DF4EF9">
      <w:pPr>
        <w:pStyle w:val="Document"/>
        <w:spacing w:line="240" w:lineRule="auto"/>
        <w:ind w:firstLine="0"/>
        <w:rPr>
          <w:rFonts w:eastAsia="MS Mincho"/>
          <w:kern w:val="16"/>
          <w14:ligatures w14:val="standardContextual"/>
          <w14:numForm w14:val="oldStyle"/>
          <w14:numSpacing w14:val="proportional"/>
          <w14:cntxtAlts/>
        </w:rPr>
      </w:pPr>
      <w:r w:rsidRPr="0097784F">
        <w:rPr>
          <w:rFonts w:eastAsia="MS Mincho"/>
          <w:kern w:val="16"/>
          <w14:ligatures w14:val="standardContextual"/>
          <w14:numForm w14:val="oldStyle"/>
          <w14:numSpacing w14:val="proportional"/>
          <w14:cntxtAlts/>
        </w:rPr>
        <w:tab/>
        <w:t>The term Wilsonian Compromise comes from Wiebe</w:t>
      </w:r>
      <w:r w:rsidRPr="0097784F">
        <w:rPr>
          <w:rFonts w:eastAsia="MS Mincho"/>
          <w:kern w:val="16"/>
          <w:vertAlign w:val="superscript"/>
          <w14:ligatures w14:val="standardContextual"/>
          <w14:numForm w14:val="oldStyle"/>
          <w14:numSpacing w14:val="proportional"/>
          <w14:cntxtAlts/>
        </w:rPr>
        <w:t>,</w:t>
      </w:r>
      <w:r w:rsidRPr="0097784F">
        <w:rPr>
          <w:rFonts w:eastAsia="MS Mincho"/>
          <w:kern w:val="16"/>
          <w:vertAlign w:val="superscript"/>
          <w14:cntxtAlts/>
        </w:rPr>
        <w:footnoteReference w:id="94"/>
      </w:r>
      <w:r w:rsidRPr="0097784F">
        <w:rPr>
          <w:rFonts w:eastAsia="MS Mincho"/>
          <w:kern w:val="16"/>
          <w14:ligatures w14:val="standardContextual"/>
          <w14:numForm w14:val="oldStyle"/>
          <w14:numSpacing w14:val="proportional"/>
          <w14:cntxtAlts/>
        </w:rPr>
        <w:t xml:space="preserve"> and refers to Wilson’s general legislative program, one where he forced—through will and reason and the exercise of political power—otherwise hostile groups to bargain one with another to reach conclusion. In this, Wiebe concludes, “[n]either Wilson, his </w:t>
      </w:r>
      <w:r w:rsidRPr="0097784F">
        <w:rPr>
          <w:rFonts w:eastAsia="MS Mincho"/>
          <w:kern w:val="16"/>
          <w14:ligatures w14:val="standardContextual"/>
          <w14:numForm w14:val="oldStyle"/>
          <w14:numSpacing w14:val="proportional"/>
          <w14:cntxtAlts/>
        </w:rPr>
        <w:lastRenderedPageBreak/>
        <w:t>advisers, nor the leaders in Congress could pretend that this remarkable balance followed a master plan.” It was in the “dexterous management” of the initial legislative projects that Wilson’s skills were on display. The dysfunction of the institutional design, in the case of the Federal Reserve at least, didn’t manifest itself until after Wilson was out of office.</w:t>
      </w:r>
    </w:p>
    <w:p w14:paraId="526ACB7F" w14:textId="69A88D1D" w:rsidR="0081776B" w:rsidRDefault="0081776B" w:rsidP="00DF4EF9">
      <w:pPr>
        <w:pStyle w:val="Document"/>
        <w:spacing w:line="240" w:lineRule="auto"/>
        <w:ind w:firstLine="0"/>
        <w:rPr>
          <w:rFonts w:eastAsia="MS Mincho"/>
          <w:kern w:val="16"/>
          <w14:ligatures w14:val="standardContextual"/>
          <w14:numForm w14:val="oldStyle"/>
          <w14:numSpacing w14:val="proportional"/>
          <w14:cntxtAlts/>
        </w:rPr>
      </w:pPr>
    </w:p>
    <w:p w14:paraId="023A8DD8" w14:textId="139DBA03" w:rsidR="0081776B" w:rsidRDefault="0081776B" w:rsidP="0081776B">
      <w:pPr>
        <w:pStyle w:val="Heading2"/>
      </w:pPr>
      <w:r>
        <w:t xml:space="preserve">Punctuated Coalitions and the Federal Reserve </w:t>
      </w:r>
    </w:p>
    <w:p w14:paraId="64DE152F" w14:textId="77777777" w:rsidR="00E07FA2" w:rsidRDefault="00EC295D" w:rsidP="0081776B">
      <w:pPr>
        <w:pStyle w:val="MainBody"/>
      </w:pPr>
      <w:r>
        <w:t xml:space="preserve">Punctuated coalitional theory accounts for the Federal Reserve System’s innovations. This especially true of </w:t>
      </w:r>
      <w:r w:rsidR="00E07FA2">
        <w:t xml:space="preserve">two </w:t>
      </w:r>
      <w:r>
        <w:t>dynamics: the essential role of randomness in the Act’s passage</w:t>
      </w:r>
      <w:r w:rsidR="00E07FA2">
        <w:t xml:space="preserve"> and</w:t>
      </w:r>
      <w:r>
        <w:t xml:space="preserve"> the temporary and shifting legislative coalitions—and anti-coalitions—that </w:t>
      </w:r>
      <w:r w:rsidR="00E07FA2">
        <w:t>ultimately supported (or opposed) its passage.</w:t>
      </w:r>
    </w:p>
    <w:p w14:paraId="41F634B9" w14:textId="77777777" w:rsidR="00025FD7" w:rsidRDefault="00E07FA2" w:rsidP="0081776B">
      <w:pPr>
        <w:pStyle w:val="MainBody"/>
      </w:pPr>
      <w:r>
        <w:t xml:space="preserve">Randomness is everywhere in the passage of the Federal Reserve Act. Had Wilson not been elected in this ahistorically close election, had Wilson not insisted on deviating from the prevailing institutional design of central banks on a commitment to political principle, had the raging debates over the metallic basis of money not largely receded in the decade before the 1907 Panic—the existence of the Federal Reserve Act, let alone its basic content, would have looked very different. </w:t>
      </w:r>
    </w:p>
    <w:p w14:paraId="05372C7D" w14:textId="77777777" w:rsidR="00FF230D" w:rsidRDefault="00025FD7" w:rsidP="0081776B">
      <w:pPr>
        <w:pStyle w:val="MainBody"/>
      </w:pPr>
      <w:r>
        <w:t xml:space="preserve">The story of the coalitions that supported the Act’s final passage also show how punctuated these coalitions actually are. </w:t>
      </w:r>
      <w:r w:rsidR="003652DD">
        <w:t>The Democratic Party did not create the Federal Reserve Act, despite the later insistence by</w:t>
      </w:r>
      <w:r w:rsidR="00FF230D">
        <w:t xml:space="preserve"> Carter Glass decades later. Its content was largely generated by the Act’s ultimate opponents, Republicans around Nelson Aldrich.</w:t>
      </w:r>
    </w:p>
    <w:p w14:paraId="071A89C9" w14:textId="77777777" w:rsidR="00FF230D" w:rsidRDefault="00FF230D" w:rsidP="0081776B">
      <w:pPr>
        <w:pStyle w:val="MainBody"/>
      </w:pPr>
      <w:r>
        <w:t>What is more telling about the passage of the Federal Reserve Act is how poorly it fits either the bank bargain theory or the crisis reaction hypothesis. Calomiris &amp; Haber deal with the creation of the Federal Reserve System, but overemphasize the “choice” to focus on central banking institutions rather than the abolition of unit banking, the U.S. practice of prohibiting interstate branch banking that existed through most of the 20</w:t>
      </w:r>
      <w:r w:rsidRPr="00FF230D">
        <w:rPr>
          <w:vertAlign w:val="superscript"/>
        </w:rPr>
        <w:t>th</w:t>
      </w:r>
      <w:r>
        <w:t xml:space="preserve"> century. Their conclusion is a curious one: they regarded the creation of a “central bank” the more “politically feasible” option, over reforming the unit banking system. But this misstates both the </w:t>
      </w:r>
      <w:r>
        <w:lastRenderedPageBreak/>
        <w:t xml:space="preserve">probabilities of a successful legislative outcome and the intellectual history of the U.S. Federal Reserve System. Some early proponents of legislative action after the 1907 Panic focused on branch banking, but it rarely if ever figured into the main political discussions. It was a separate fight. And more to the point, there was nothing politically feasible about the Federal Reserve Act. It was contingent outcome that might never have occurred. </w:t>
      </w:r>
    </w:p>
    <w:p w14:paraId="083A1157" w14:textId="55798166" w:rsidR="003D2405" w:rsidRDefault="00FF230D" w:rsidP="0081776B">
      <w:pPr>
        <w:pStyle w:val="MainBody"/>
      </w:pPr>
      <w:r>
        <w:t>The crisis reaction hypothesis</w:t>
      </w:r>
      <w:r w:rsidR="001D4123">
        <w:t xml:space="preserve"> also cannot explain the legislative path of the Federal Reserve Act. This may seem a counterintuitive claim, </w:t>
      </w:r>
      <w:r w:rsidR="003D2405">
        <w:t>given how often the Panic of 1907 and the Federal Reserve Act of 1913 are linked in the historical and public imagination. B</w:t>
      </w:r>
      <w:r w:rsidR="001D4123">
        <w:t xml:space="preserve">ut the foregoing historical narrative shows why it is so. The true crisis legislation—the Aldrich-Vreeland Act of 1908—had nowhere near the ambition of the Federal Reserve Act, and is largely </w:t>
      </w:r>
      <w:r w:rsidR="003D2405">
        <w:t xml:space="preserve">(and appropriately) </w:t>
      </w:r>
      <w:r w:rsidR="001D4123">
        <w:t xml:space="preserve">forgotten to history. </w:t>
      </w:r>
      <w:r w:rsidR="003D2405">
        <w:t xml:space="preserve">The six years that separated the Panic of 1907 and the Federal Reserve Act show that no predictable path toward legislative enactment was at stake. It was not a foregone conclusion that the U.S. would experiment again with central banking in 1913. Very little was certain until the months and weeks prior to Woodrow Wilson’s signing the bill into law on December 23, 1913. </w:t>
      </w:r>
    </w:p>
    <w:p w14:paraId="01233F67" w14:textId="72A215CC" w:rsidR="00DF4EF9" w:rsidRPr="0097784F" w:rsidRDefault="003D2405" w:rsidP="003D2405">
      <w:pPr>
        <w:pStyle w:val="MainBody"/>
      </w:pPr>
      <w:r>
        <w:t>What we see instead is tenuous, short-term coalitions between bankers, political parties, and farmers, poised to solve problems with solutions that largely developed during the process itself. Rather than being subject to some great strategic design, the Federal Reserve Act of 1913—like legislation generally—was the result of the collision of  intellectual energies and exogenous events.</w:t>
      </w:r>
      <w:bookmarkEnd w:id="5"/>
    </w:p>
    <w:bookmarkEnd w:id="0"/>
    <w:p w14:paraId="4044163A" w14:textId="77777777" w:rsidR="00DF4EF9" w:rsidRPr="0097784F" w:rsidRDefault="00DF4EF9" w:rsidP="00DF4EF9">
      <w:pPr>
        <w:pStyle w:val="Heading1"/>
        <w:rPr>
          <w:szCs w:val="24"/>
        </w:rPr>
      </w:pPr>
      <w:r w:rsidRPr="0097784F">
        <w:rPr>
          <w:szCs w:val="24"/>
        </w:rPr>
        <w:t>The Two New Deals</w:t>
      </w:r>
    </w:p>
    <w:p w14:paraId="4A68764E" w14:textId="787AB0DC" w:rsidR="00DF4EF9" w:rsidRDefault="00DF4EF9" w:rsidP="00DF4EF9">
      <w:pPr>
        <w:tabs>
          <w:tab w:val="left" w:pos="360"/>
        </w:tabs>
        <w:spacing w:line="240" w:lineRule="auto"/>
        <w:ind w:firstLine="360"/>
        <w:rPr>
          <w:szCs w:val="24"/>
        </w:rPr>
      </w:pPr>
    </w:p>
    <w:p w14:paraId="3C1AC366" w14:textId="566C15DD" w:rsidR="00812E8D" w:rsidRDefault="00812E8D" w:rsidP="006D4344">
      <w:pPr>
        <w:tabs>
          <w:tab w:val="left" w:pos="360"/>
        </w:tabs>
        <w:spacing w:line="240" w:lineRule="auto"/>
        <w:ind w:firstLine="360"/>
        <w:rPr>
          <w:szCs w:val="24"/>
        </w:rPr>
      </w:pPr>
      <w:r>
        <w:rPr>
          <w:szCs w:val="24"/>
        </w:rPr>
        <w:t xml:space="preserve">The Great Depression, the election of 1932, and the New Deal wrought a substantial change to the structure and functions of nearly every element of financial legislation, in banking and the capital markets alike. </w:t>
      </w:r>
      <w:r w:rsidR="00FC4B88">
        <w:rPr>
          <w:szCs w:val="24"/>
        </w:rPr>
        <w:t xml:space="preserve">This Part discusses </w:t>
      </w:r>
      <w:r w:rsidR="001B5B04">
        <w:rPr>
          <w:szCs w:val="24"/>
        </w:rPr>
        <w:t>two</w:t>
      </w:r>
      <w:r w:rsidR="00FC4B88">
        <w:rPr>
          <w:szCs w:val="24"/>
        </w:rPr>
        <w:t xml:space="preserve"> </w:t>
      </w:r>
      <w:r>
        <w:rPr>
          <w:szCs w:val="24"/>
        </w:rPr>
        <w:t xml:space="preserve">major pieces of legislation through the lens of punctuated coalitions: the </w:t>
      </w:r>
      <w:r w:rsidR="00FC4B88">
        <w:rPr>
          <w:szCs w:val="24"/>
        </w:rPr>
        <w:t xml:space="preserve">deposit insurance provisions of the Banking </w:t>
      </w:r>
      <w:r>
        <w:rPr>
          <w:szCs w:val="24"/>
        </w:rPr>
        <w:t>Act of 1933</w:t>
      </w:r>
      <w:r w:rsidR="001B5B04">
        <w:rPr>
          <w:szCs w:val="24"/>
        </w:rPr>
        <w:t xml:space="preserve"> </w:t>
      </w:r>
      <w:r w:rsidR="00FC4B88">
        <w:rPr>
          <w:szCs w:val="24"/>
        </w:rPr>
        <w:t>and</w:t>
      </w:r>
      <w:r>
        <w:rPr>
          <w:szCs w:val="24"/>
        </w:rPr>
        <w:t xml:space="preserve"> the Banking </w:t>
      </w:r>
      <w:r>
        <w:rPr>
          <w:szCs w:val="24"/>
        </w:rPr>
        <w:lastRenderedPageBreak/>
        <w:t>Act of 1935.</w:t>
      </w:r>
      <w:r w:rsidR="00FC4B88">
        <w:rPr>
          <w:rStyle w:val="FootnoteReference"/>
          <w:szCs w:val="24"/>
        </w:rPr>
        <w:footnoteReference w:id="95"/>
      </w:r>
      <w:r>
        <w:rPr>
          <w:szCs w:val="24"/>
        </w:rPr>
        <w:t xml:space="preserve"> </w:t>
      </w:r>
      <w:r w:rsidR="006D4344">
        <w:rPr>
          <w:szCs w:val="24"/>
        </w:rPr>
        <w:t xml:space="preserve">In each case, we see the punctuated coalitional theory at work: exogenous events spark temporary coalitions that refine ideas against anti-coalitions, and then create enduring institutions that seek to retrench those gains. </w:t>
      </w:r>
    </w:p>
    <w:p w14:paraId="3D0E7280" w14:textId="174D5985" w:rsidR="00812E8D" w:rsidRPr="00557841" w:rsidRDefault="00812E8D" w:rsidP="00812E8D">
      <w:pPr>
        <w:pStyle w:val="Heading2"/>
      </w:pPr>
      <w:r w:rsidRPr="00557841">
        <w:t xml:space="preserve">The Banking Act of 1933: Deposit Insurance </w:t>
      </w:r>
    </w:p>
    <w:p w14:paraId="15DFDA7D" w14:textId="1C2EAE64" w:rsidR="00812E8D" w:rsidRDefault="00812E8D" w:rsidP="00557841">
      <w:pPr>
        <w:pStyle w:val="Heading2"/>
        <w:numPr>
          <w:ilvl w:val="0"/>
          <w:numId w:val="0"/>
        </w:numPr>
        <w:ind w:firstLine="360"/>
        <w:rPr>
          <w:i w:val="0"/>
        </w:rPr>
      </w:pPr>
      <w:r w:rsidRPr="00557841">
        <w:rPr>
          <w:i w:val="0"/>
        </w:rPr>
        <w:t>The Banking Act of 1933</w:t>
      </w:r>
      <w:r w:rsidR="00557841">
        <w:rPr>
          <w:rStyle w:val="FootnoteReference"/>
          <w:i w:val="0"/>
        </w:rPr>
        <w:footnoteReference w:id="96"/>
      </w:r>
      <w:r w:rsidRPr="00557841">
        <w:rPr>
          <w:i w:val="0"/>
        </w:rPr>
        <w:t>—better known by its</w:t>
      </w:r>
      <w:r w:rsidR="00557841" w:rsidRPr="00557841">
        <w:rPr>
          <w:i w:val="0"/>
        </w:rPr>
        <w:t xml:space="preserve"> legislative patronymic, Glass-Steagall, captured the popular imagination in a way that few pieces of financial legislation have done before or since. Even in 2016, the Act has remained highly politically relevant: its repeal was formally part of the </w:t>
      </w:r>
      <w:r w:rsidR="00557841">
        <w:rPr>
          <w:i w:val="0"/>
        </w:rPr>
        <w:t>platforms of both the Democratic</w:t>
      </w:r>
      <w:r w:rsidR="00557841">
        <w:rPr>
          <w:rStyle w:val="FootnoteReference"/>
          <w:i w:val="0"/>
        </w:rPr>
        <w:footnoteReference w:id="97"/>
      </w:r>
      <w:r w:rsidR="00557841">
        <w:rPr>
          <w:i w:val="0"/>
        </w:rPr>
        <w:t xml:space="preserve"> and Republican Parties.</w:t>
      </w:r>
      <w:r w:rsidR="00557841">
        <w:rPr>
          <w:rStyle w:val="FootnoteReference"/>
          <w:i w:val="0"/>
        </w:rPr>
        <w:footnoteReference w:id="98"/>
      </w:r>
    </w:p>
    <w:p w14:paraId="6E2DF814" w14:textId="77777777" w:rsidR="00FF1786" w:rsidRDefault="00557841" w:rsidP="00557841">
      <w:pPr>
        <w:pStyle w:val="MainBody"/>
      </w:pPr>
      <w:r>
        <w:t>The legislation accomplished a variety of tasks</w:t>
      </w:r>
      <w:r w:rsidR="002B5F3C">
        <w:t xml:space="preserve"> and consisted of </w:t>
      </w:r>
      <w:r w:rsidR="002D08E5">
        <w:t>thirty-four sections. The term “Glass-Steagall Act” is usually invoked to refer to five sections. The longest, Section 8, created the Federal Deposit Insurance Corporation as a quasi-independent corporation of the Federal Reserve System (funded through the Fed, albeit with a separate board), and sections 16, 20, 21, and 32, which created a separation in finance between commercial banks that accepted deposits and investment banks that un</w:t>
      </w:r>
      <w:r w:rsidR="002D08E5">
        <w:lastRenderedPageBreak/>
        <w:t>derwrote securities, advised firms and individuals on investments, and performed other kinds of merchant banking activities.</w:t>
      </w:r>
      <w:r w:rsidR="002D08E5">
        <w:rPr>
          <w:rStyle w:val="FootnoteReference"/>
        </w:rPr>
        <w:footnoteReference w:id="99"/>
      </w:r>
    </w:p>
    <w:p w14:paraId="1DB6FF79" w14:textId="669590C9" w:rsidR="00177132" w:rsidRDefault="00FF1786" w:rsidP="00557841">
      <w:pPr>
        <w:pStyle w:val="MainBody"/>
      </w:pPr>
      <w:r>
        <w:t xml:space="preserve">The advent of these two classes of provisions—the separation of commercial and investment banking and the creation </w:t>
      </w:r>
      <w:r w:rsidR="003752F2">
        <w:t>of federal deposit insurance has a legal logic, but not a historical one. The justification, cited at the time and cited after the fact, for combining these two disparate policies was to ensure that</w:t>
      </w:r>
      <w:r w:rsidR="00D7739F">
        <w:t xml:space="preserve"> the privilege of deposit insurance would not be used </w:t>
      </w:r>
      <w:r w:rsidR="001B4A5A">
        <w:t xml:space="preserve">by banks who might gamble with this federal </w:t>
      </w:r>
      <w:r w:rsidR="00177132">
        <w:t>subsidy.</w:t>
      </w:r>
      <w:r w:rsidRPr="00557841">
        <w:t xml:space="preserve"> </w:t>
      </w:r>
    </w:p>
    <w:p w14:paraId="2BD74007" w14:textId="77777777" w:rsidR="00AF5371" w:rsidRDefault="00177132" w:rsidP="00177132">
      <w:pPr>
        <w:pStyle w:val="MainBody"/>
      </w:pPr>
      <w:r>
        <w:t>But historically, the very idea of deposit insurance as a federal answer to any problem cannot be taken for granted. States had experimented with deposit insurance beginning in New York in 1829, with varying degrees of success.</w:t>
      </w:r>
      <w:r>
        <w:rPr>
          <w:rStyle w:val="FootnoteReference"/>
        </w:rPr>
        <w:footnoteReference w:id="100"/>
      </w:r>
      <w:r>
        <w:t xml:space="preserve"> After the Panic of 1907, deposit insurance was suggested, Democrats included in their party platform </w:t>
      </w:r>
      <w:r w:rsidRPr="0097784F">
        <w:t>“legislation under which the national banks shall be required to establish a guarantee fund for the prompt payment of the depositors of any insolvent national bank, under an equitable system which shall be available to all State banking institutions wishing to use it.”</w:t>
      </w:r>
      <w:r w:rsidRPr="0097784F">
        <w:rPr>
          <w:rStyle w:val="FootnoteReference"/>
        </w:rPr>
        <w:footnoteReference w:id="101"/>
      </w:r>
      <w:r w:rsidRPr="0097784F">
        <w:t xml:space="preserve"> </w:t>
      </w:r>
    </w:p>
    <w:p w14:paraId="4C703798" w14:textId="5BA28864" w:rsidR="00177132" w:rsidRDefault="00177132" w:rsidP="00AF5371">
      <w:pPr>
        <w:pStyle w:val="MainBody"/>
      </w:pPr>
      <w:r>
        <w:t xml:space="preserve">There was </w:t>
      </w:r>
      <w:r w:rsidR="00AF5371">
        <w:t xml:space="preserve">little </w:t>
      </w:r>
      <w:r>
        <w:t>enthusiasm for the project</w:t>
      </w:r>
      <w:r w:rsidR="00AF5371">
        <w:t xml:space="preserve"> outside the Democratic Party bosses who wrote the platform, and 1908 was not the Democrats’ year</w:t>
      </w:r>
      <w:r>
        <w:t xml:space="preserve">. </w:t>
      </w:r>
      <w:r w:rsidRPr="0097784F">
        <w:t xml:space="preserve">Laurence Laughlin, one of the key monetary theorists behind what would become the Aldrich Plan, dismissed the Democrats’ ideas as an effort to “make men good by law. It is purely populistic and socialistic.” The depositors would be better served by relying on “the skill, integrity” and “good </w:t>
      </w:r>
      <w:r w:rsidRPr="0097784F">
        <w:lastRenderedPageBreak/>
        <w:t>management” of bankers than any kind of socialistic intervention.</w:t>
      </w:r>
      <w:r w:rsidRPr="0097784F">
        <w:rPr>
          <w:rStyle w:val="FootnoteReference"/>
        </w:rPr>
        <w:footnoteReference w:id="102"/>
      </w:r>
      <w:r w:rsidRPr="0097784F">
        <w:t xml:space="preserve"> </w:t>
      </w:r>
      <w:r>
        <w:t>Despite continued</w:t>
      </w:r>
      <w:r w:rsidR="00F970AE">
        <w:t>—and somewhat uneven—</w:t>
      </w:r>
      <w:r>
        <w:t>experimentation at the state level,</w:t>
      </w:r>
      <w:r>
        <w:rPr>
          <w:rStyle w:val="FootnoteReference"/>
        </w:rPr>
        <w:footnoteReference w:id="103"/>
      </w:r>
      <w:r w:rsidR="00AF3F32">
        <w:t xml:space="preserve"> the idea of federal deposit insurance on the eve of the Depression was widely dismissed. “Experience would seem fully to have demonstrated that the insurance of bank deposits through legislation is so fully discredited as to warrant the permanent scrapping of the scheme.”</w:t>
      </w:r>
      <w:r w:rsidR="00AF3F32">
        <w:rPr>
          <w:rStyle w:val="FootnoteReference"/>
        </w:rPr>
        <w:footnoteReference w:id="104"/>
      </w:r>
    </w:p>
    <w:p w14:paraId="468140FB" w14:textId="433A3DFE" w:rsidR="00177132" w:rsidRDefault="00AF5371" w:rsidP="00177132">
      <w:pPr>
        <w:pStyle w:val="MainBody"/>
      </w:pPr>
      <w:r>
        <w:t xml:space="preserve">Bankers </w:t>
      </w:r>
      <w:r w:rsidR="00E0224D">
        <w:t>did not lose their enthusiasm for deposit insurance throughout the debates.</w:t>
      </w:r>
      <w:r w:rsidR="00867721">
        <w:t xml:space="preserve"> In the words of one contemporary observer, “[i]nfluential bankers and banker organizations fought deposit guaranty to the last ditch.”</w:t>
      </w:r>
      <w:r w:rsidR="00867721">
        <w:rPr>
          <w:rStyle w:val="FootnoteReference"/>
        </w:rPr>
        <w:footnoteReference w:id="105"/>
      </w:r>
      <w:r w:rsidR="00E0224D">
        <w:t xml:space="preserve"> </w:t>
      </w:r>
      <w:r w:rsidR="006B242A">
        <w:t xml:space="preserve">Their dispute was not that nothing should be done, but that deposit insurance had been a failure where it had been practiced ahead of the crises. </w:t>
      </w:r>
      <w:r w:rsidR="00E0224D">
        <w:t>“There can be no question about the need of protection for American bank depositors,” one banker wrote in 1932. “The debatable point is the form which that protection should take.”</w:t>
      </w:r>
      <w:r w:rsidR="00E0224D">
        <w:rPr>
          <w:rStyle w:val="FootnoteReference"/>
        </w:rPr>
        <w:footnoteReference w:id="106"/>
      </w:r>
      <w:r w:rsidR="00E0224D">
        <w:t xml:space="preserve"> </w:t>
      </w:r>
    </w:p>
    <w:p w14:paraId="3987BBFB" w14:textId="545744FE" w:rsidR="009E0475" w:rsidRDefault="00E0224D" w:rsidP="00177132">
      <w:pPr>
        <w:pStyle w:val="MainBody"/>
      </w:pPr>
      <w:r>
        <w:t>The bankers had the better of the argument from the perspective of practical experience. Nearly every state insurance fund was insolvent by the time the Glass-Steagall was passed in 1933.</w:t>
      </w:r>
      <w:r w:rsidR="00604B09">
        <w:rPr>
          <w:rStyle w:val="FootnoteReference"/>
        </w:rPr>
        <w:footnoteReference w:id="107"/>
      </w:r>
      <w:r>
        <w:t xml:space="preserve"> </w:t>
      </w:r>
      <w:r w:rsidR="009E0475">
        <w:t>Carter Glass himself, speaking at the Democratic National Convention in 1932, argued that the “</w:t>
      </w:r>
      <w:r w:rsidR="009E0475" w:rsidRPr="009E0475">
        <w:t>guarantee of bank deposits has been tried in a number of states and resulted invariably in confusion and disaster to the financial structure of those states</w:t>
      </w:r>
      <w:r w:rsidR="009E0475">
        <w:t xml:space="preserve">.” Any effort to adopt deposit insurance at the federal level </w:t>
      </w:r>
      <w:r w:rsidR="009E0475">
        <w:lastRenderedPageBreak/>
        <w:t>would “</w:t>
      </w:r>
      <w:r w:rsidR="009E0475" w:rsidRPr="009E0475">
        <w:t>drive the strongest member banks from the Federal Reserve System. Those strong banks should not be assessed to pay a premium for mismanagement.</w:t>
      </w:r>
      <w:r w:rsidR="009E0475">
        <w:t>”</w:t>
      </w:r>
      <w:r w:rsidR="009E0475">
        <w:rPr>
          <w:rStyle w:val="FootnoteReference"/>
        </w:rPr>
        <w:footnoteReference w:id="108"/>
      </w:r>
      <w:r w:rsidR="009E0475">
        <w:t xml:space="preserve"> </w:t>
      </w:r>
    </w:p>
    <w:p w14:paraId="32FEAE5F" w14:textId="32F8309D" w:rsidR="006B242A" w:rsidRDefault="006B242A" w:rsidP="00177132">
      <w:pPr>
        <w:pStyle w:val="MainBody"/>
      </w:pPr>
      <w:r>
        <w:t>The change came slowly, then quickly. The banks were almost unanimously opposed, but some southern politicians viewed deposit insurance as an alternative to the dread of branch banking, or the practice of allowing banks to open new branches under the same umbrella organization. Henry Steagall, the Democrat from Alabama who chaired the House Banking Committee, was among those defendants of unit banking—the legal prohibition on branch banking</w:t>
      </w:r>
      <w:r w:rsidR="000B0DBA">
        <w:t xml:space="preserve">. Deposit insurance was its alternative, and every piece of banking legislation from 1930 onward that originated from the House included some kind or other of deposit insurance. </w:t>
      </w:r>
      <w:r>
        <w:t xml:space="preserve"> </w:t>
      </w:r>
    </w:p>
    <w:p w14:paraId="5CD0C6D4" w14:textId="634467D0" w:rsidR="009E0475" w:rsidRDefault="000B0DBA" w:rsidP="00177132">
      <w:pPr>
        <w:pStyle w:val="MainBody"/>
      </w:pPr>
      <w:r>
        <w:t>Carter Glass and Franklin Roosevelt—also an opponent of deposit insurance—eventually relented, but on conditions. Glass wanted a temporary scheme to attach to his bill that would punish New York investment banks by pushing them out of the commercial banking space. The public did not attach the same importance to that pet issue, although the prominence of New York’s perceived errors had risen in the sensational Pecora hearings</w:t>
      </w:r>
      <w:r w:rsidR="00B85FEA">
        <w:t xml:space="preserve"> that had brought the activities of investment banks to the front pages of the newspaper</w:t>
      </w:r>
      <w:r>
        <w:t>.</w:t>
      </w:r>
      <w:r>
        <w:rPr>
          <w:rStyle w:val="FootnoteReference"/>
        </w:rPr>
        <w:footnoteReference w:id="109"/>
      </w:r>
    </w:p>
    <w:p w14:paraId="1E21BB82" w14:textId="7EB85D7A" w:rsidR="008E295A" w:rsidRDefault="008A6C7B" w:rsidP="00177132">
      <w:pPr>
        <w:pStyle w:val="MainBody"/>
      </w:pPr>
      <w:r>
        <w:t xml:space="preserve">But although Glass’s enthusiasm for the separation of commercial and investment banking made deposit insurance more palatable, the real </w:t>
      </w:r>
      <w:r w:rsidR="00056AE0">
        <w:t xml:space="preserve">enthusiasm was in what Congress had already done as the first piece of New Deal legislation: the de facto provision of 100% deposit insurance through the banking holiday of 1933. Shortly after his March 4, 1933 inauguration, Roosevelt declared a national banking holiday after other states, beginning in Michigan, had done the same. The </w:t>
      </w:r>
      <w:r w:rsidR="008E295A">
        <w:t xml:space="preserve">original executive order </w:t>
      </w:r>
      <w:r w:rsidR="008E295A">
        <w:lastRenderedPageBreak/>
        <w:t xml:space="preserve">required a four-day holiday; the holiday was in fact extended for three additional business days. In total, banks were closed from March 5, 1933 until March 13, 1933. </w:t>
      </w:r>
    </w:p>
    <w:p w14:paraId="29E1CF07" w14:textId="07A783B0" w:rsidR="008E599A" w:rsidRDefault="008E295A" w:rsidP="00177132">
      <w:pPr>
        <w:pStyle w:val="MainBody"/>
      </w:pPr>
      <w:r>
        <w:t xml:space="preserve"> The Bank Holiday created what economic historian </w:t>
      </w:r>
      <w:r w:rsidR="005B3563">
        <w:t xml:space="preserve">William Silber </w:t>
      </w:r>
      <w:r>
        <w:t>called a “de facto 100 percent deposit insurance” as the Federal Reserve Banks provided essentially unlimited liquidity to banks and the banks themselves were not subject to particularly stringent recapitalization plans.</w:t>
      </w:r>
      <w:r w:rsidR="005B3563">
        <w:rPr>
          <w:rStyle w:val="FootnoteReference"/>
        </w:rPr>
        <w:footnoteReference w:id="110"/>
      </w:r>
      <w:r>
        <w:t xml:space="preserve"> The supervisory attention during that blistering period was </w:t>
      </w:r>
      <w:r w:rsidR="00D63E31">
        <w:t>to reassure the public, not cut out the rot of insolvency.</w:t>
      </w:r>
      <w:r w:rsidR="00826DF4">
        <w:rPr>
          <w:rStyle w:val="FootnoteReference"/>
        </w:rPr>
        <w:footnoteReference w:id="111"/>
      </w:r>
      <w:r w:rsidR="005B3563">
        <w:t xml:space="preserve"> And the public responded. </w:t>
      </w:r>
      <w:r w:rsidR="008E599A">
        <w:t>Within two weeks, the public had returned “</w:t>
      </w:r>
      <w:r w:rsidR="008E599A" w:rsidRPr="008E599A">
        <w:t>the public had returned to the banks two-thirds of the currency hoarded since the onset of the panic.</w:t>
      </w:r>
      <w:r w:rsidR="008E599A">
        <w:t>”</w:t>
      </w:r>
      <w:r w:rsidR="008E599A">
        <w:rPr>
          <w:rStyle w:val="FootnoteReference"/>
        </w:rPr>
        <w:footnoteReference w:id="112"/>
      </w:r>
    </w:p>
    <w:p w14:paraId="01DD5629" w14:textId="05DAA918" w:rsidR="00E0224D" w:rsidRDefault="00E0224D" w:rsidP="00E0224D">
      <w:pPr>
        <w:pStyle w:val="MainBody"/>
      </w:pPr>
      <w:r>
        <w:t xml:space="preserve">By 1951, when the Federal Deposit Insurance Act was passed to increase the level of deposit insurance throughout the country, remove the FDIC from any connection to the Federal Reserve System, and give the FDIC even greater authority as a bank supervisor and regulator, there was near unanimity that the FDIC had been a crown jewel of the New Deal. </w:t>
      </w:r>
      <w:r w:rsidRPr="00E0224D">
        <w:t>The hearings prior to the passage of the new act read like a love-in for the Corporation, reflecting if in hyperbole the national mood. “I want to say that I do not think there is any agency of the Government that is more entitled to the gratitude of the people than the Federal Deposit Insurance Corporation,” fawned Brent Spence, a Democrat from Kentucky and Chairman of the House Committee on Banking and Currency. The other members of Congress were similarly enthusiastic. Keep in mind: the U.S. military had defeated the Nazis</w:t>
      </w:r>
      <w:r>
        <w:t xml:space="preserve"> just a few years before</w:t>
      </w:r>
      <w:r w:rsidRPr="00E0224D">
        <w:t>.</w:t>
      </w:r>
      <w:r w:rsidRPr="00E0224D">
        <w:rPr>
          <w:vertAlign w:val="superscript"/>
        </w:rPr>
        <w:footnoteReference w:id="113"/>
      </w:r>
    </w:p>
    <w:p w14:paraId="4B317474" w14:textId="7CEDE319" w:rsidR="008E599A" w:rsidRPr="008E599A" w:rsidRDefault="008E599A" w:rsidP="008E599A">
      <w:pPr>
        <w:pStyle w:val="MainBody"/>
      </w:pPr>
      <w:r>
        <w:t xml:space="preserve">And this was not simply a big-government view of market meddling. In their landmark </w:t>
      </w:r>
      <w:r>
        <w:rPr>
          <w:i/>
        </w:rPr>
        <w:t>Monetary History of the United States</w:t>
      </w:r>
      <w:r>
        <w:t>, libertarian economists Milton Friedman and Anna Schwartz described deposit insurance as “</w:t>
      </w:r>
      <w:r w:rsidRPr="008E599A">
        <w:t xml:space="preserve">the most important structural </w:t>
      </w:r>
      <w:r w:rsidRPr="008E599A">
        <w:lastRenderedPageBreak/>
        <w:t>change in the banking system to result from the 1933 panic, and . . . the structural change most conducive to monetary stability since state bank notes were taxed out of existence immediately after the Civil War.”</w:t>
      </w:r>
      <w:r>
        <w:rPr>
          <w:rStyle w:val="FootnoteReference"/>
        </w:rPr>
        <w:footnoteReference w:id="114"/>
      </w:r>
    </w:p>
    <w:p w14:paraId="5F70C83D" w14:textId="7D1FE51E" w:rsidR="00E0224D" w:rsidRDefault="00E0224D" w:rsidP="00E0224D">
      <w:pPr>
        <w:pStyle w:val="MainBody"/>
      </w:pPr>
      <w:r>
        <w:t xml:space="preserve">How, then, could a proposal as widely discredited as federal deposit insurance become such an integral part of federal law, widely viewed as an enduring success of the New Deal? </w:t>
      </w:r>
    </w:p>
    <w:p w14:paraId="4BA5B618" w14:textId="5DF37A44" w:rsidR="002A5ABE" w:rsidRDefault="002A5ABE" w:rsidP="00E0224D">
      <w:pPr>
        <w:pStyle w:val="MainBody"/>
      </w:pPr>
      <w:r>
        <w:t>There are elements of the crisis overreaction hypothesis at work for deposit insurance. The idea was off-the-shelf with almost no empirical evidence in its favor, passed in an emergency</w:t>
      </w:r>
      <w:r w:rsidR="00ED0130">
        <w:t xml:space="preserve"> with little debate. Indeed, the Emergency Banking Relief Act of 1933, passed on March 9, 1933, to legitimize FDR’s Bank Holiday was passed in a single day, with no copies circulated to the members of Congress who had to vote on its contents</w:t>
      </w:r>
      <w:r w:rsidR="006B5B9B">
        <w:t xml:space="preserve"> and after only thirty-eight minutes of “debate</w:t>
      </w:r>
      <w:r w:rsidR="00ED0130">
        <w:t>.</w:t>
      </w:r>
      <w:r w:rsidR="006B5B9B">
        <w:t>”</w:t>
      </w:r>
      <w:r w:rsidR="00ED0130">
        <w:rPr>
          <w:rStyle w:val="FootnoteReference"/>
        </w:rPr>
        <w:footnoteReference w:id="115"/>
      </w:r>
    </w:p>
    <w:p w14:paraId="385498AE" w14:textId="534BC949" w:rsidR="00177132" w:rsidRDefault="007B1131" w:rsidP="00557841">
      <w:pPr>
        <w:pStyle w:val="MainBody"/>
      </w:pPr>
      <w:r>
        <w:t xml:space="preserve">But this view misses both the process and outcomes of this legislative maneuvering. Franklin Roosevelt had almost untrammeled legislative autonomy in these first weeks of the New Deal. But he yielded to a public outcry that favored this kind of formal assurance. Carter Glass, opposed as we’ve seen to the idea, needed it to support the less obviously important policy idea in the separation of commercial and investment banking. </w:t>
      </w:r>
      <w:r w:rsidR="00F96481">
        <w:t>The confluence of events and the bargain that Carter Glass, Roosevelt, Steagall, and the enthusiasms of a mostly uninformed Congress to do something muscular in response, pushed through an idea that has endured, with bipartisan enthusiasm, for eighty years thereafter.</w:t>
      </w:r>
      <w:r w:rsidR="00F96481">
        <w:rPr>
          <w:rStyle w:val="FootnoteReference"/>
        </w:rPr>
        <w:footnoteReference w:id="116"/>
      </w:r>
      <w:r w:rsidR="00F96481">
        <w:t xml:space="preserve"> </w:t>
      </w:r>
    </w:p>
    <w:p w14:paraId="3A9061E5" w14:textId="05467097" w:rsidR="00177132" w:rsidRDefault="0097622A" w:rsidP="00D36684">
      <w:pPr>
        <w:pStyle w:val="MainBody"/>
      </w:pPr>
      <w:r>
        <w:t xml:space="preserve">A key component of punctuated coalitions in enduring legislation is also the role of incumbent governmental institutions that seek to navigate new legislative proposals with an aim of institutional expansion. The deposit insurance provisions created </w:t>
      </w:r>
      <w:r>
        <w:lastRenderedPageBreak/>
        <w:t>the Federal Deposit Insurance Corporation. In doing so, it also created precisely this new voice on the stage, with important legislative implications for the future.</w:t>
      </w:r>
      <w:r>
        <w:rPr>
          <w:rStyle w:val="FootnoteReference"/>
        </w:rPr>
        <w:footnoteReference w:id="117"/>
      </w:r>
      <w:r>
        <w:t xml:space="preserve"> </w:t>
      </w:r>
    </w:p>
    <w:p w14:paraId="4C50F6E9" w14:textId="27B0F598" w:rsidR="001B5B04" w:rsidRDefault="0021237B" w:rsidP="0021237B">
      <w:pPr>
        <w:pStyle w:val="Heading2"/>
      </w:pPr>
      <w:r>
        <w:t>The Banking Act of 1935</w:t>
      </w:r>
    </w:p>
    <w:p w14:paraId="4ACA92B2" w14:textId="4AA84570" w:rsidR="0021237B" w:rsidRDefault="0021237B" w:rsidP="0021237B">
      <w:pPr>
        <w:pStyle w:val="MainBody"/>
      </w:pPr>
      <w:r>
        <w:t>After the burst of legislative activity meant to respond to the financial and general economic conditions of the Great Depression, banking receded temporarily from the legislative agenda.</w:t>
      </w:r>
      <w:r w:rsidR="00D36684">
        <w:t xml:space="preserve"> That legislative burst had</w:t>
      </w:r>
      <w:r>
        <w:t xml:space="preserve">, in addition to the deposit insurance and capital markets changes </w:t>
      </w:r>
      <w:r w:rsidR="00D36684">
        <w:t>discussed above</w:t>
      </w:r>
      <w:r>
        <w:t xml:space="preserve">, </w:t>
      </w:r>
      <w:r w:rsidR="00755FD9">
        <w:t xml:space="preserve">ushered in </w:t>
      </w:r>
      <w:r w:rsidR="00D36684">
        <w:t>a new regime governing the capital markets.</w:t>
      </w:r>
      <w:r w:rsidR="00D36684">
        <w:rPr>
          <w:rStyle w:val="FootnoteReference"/>
        </w:rPr>
        <w:footnoteReference w:id="118"/>
      </w:r>
      <w:r w:rsidR="00090577">
        <w:t xml:space="preserve"> The Roosevelt Administration’s legislative agenda now faced the task of reshaping the national economy. </w:t>
      </w:r>
    </w:p>
    <w:p w14:paraId="347CBD7E" w14:textId="54C43227" w:rsidR="00090577" w:rsidRDefault="00090577" w:rsidP="0021237B">
      <w:pPr>
        <w:pStyle w:val="MainBody"/>
      </w:pPr>
      <w:r>
        <w:t>It was not a straightforward exercise. The U.S. Supreme Court, for one, had taken a mostly dim view of the Administration’s economic experimentations.</w:t>
      </w:r>
      <w:r>
        <w:rPr>
          <w:rStyle w:val="FootnoteReference"/>
        </w:rPr>
        <w:footnoteReference w:id="119"/>
      </w:r>
      <w:r>
        <w:t xml:space="preserve"> And Roosevelt’s overwhelming legislative majority was beginning to show signs of wear. Partisan lines were not holding steady; ideological divides were becoming more and more stark.</w:t>
      </w:r>
      <w:r>
        <w:rPr>
          <w:rStyle w:val="FootnoteReference"/>
        </w:rPr>
        <w:footnoteReference w:id="120"/>
      </w:r>
      <w:r>
        <w:t xml:space="preserve"> </w:t>
      </w:r>
    </w:p>
    <w:p w14:paraId="26684941" w14:textId="77777777" w:rsidR="00D86927" w:rsidRDefault="00D86927" w:rsidP="0021237B">
      <w:pPr>
        <w:pStyle w:val="MainBody"/>
      </w:pPr>
      <w:r>
        <w:t>It is thus something of a surprise that the legislative activity in the 74</w:t>
      </w:r>
      <w:r w:rsidRPr="00D86927">
        <w:rPr>
          <w:vertAlign w:val="superscript"/>
        </w:rPr>
        <w:t>th</w:t>
      </w:r>
      <w:r>
        <w:t xml:space="preserve"> Congress—the so-called “Second New Deal,” as it was called then and now—should be so enduring. Indeed, the legislation of the Second New Deal proved much longer lasting than the first. During that session, the Congress passed, among other bills, the Social Security Act, the National Labor Relations Act (creating an enduring structure for resolving labor disputes and protecting labor rights), bills creating rural electrification (which increased Democrats’ political hold on rural America), and much else. </w:t>
      </w:r>
    </w:p>
    <w:p w14:paraId="109A9C4B" w14:textId="764B0A01" w:rsidR="002F3708" w:rsidRDefault="00D86927" w:rsidP="0021237B">
      <w:pPr>
        <w:pStyle w:val="MainBody"/>
      </w:pPr>
      <w:r>
        <w:t xml:space="preserve">Tucked away in that legislative mix was the Banking Act of 1935. Given how much the legislative activities of the previous </w:t>
      </w:r>
      <w:r>
        <w:lastRenderedPageBreak/>
        <w:t xml:space="preserve">Congress had focused on </w:t>
      </w:r>
      <w:r w:rsidR="00C10083">
        <w:t>the questions of banking, and given how much significant attention was placed</w:t>
      </w:r>
      <w:r w:rsidR="002F3708">
        <w:t xml:space="preserve"> on this suite of other blockbuster legislation, the story of that Act’s passage is an important illustration of punctuated coalitions. </w:t>
      </w:r>
    </w:p>
    <w:p w14:paraId="37CBB3D0" w14:textId="1879D38F" w:rsidR="002F3708" w:rsidRDefault="002F3708" w:rsidP="0021237B">
      <w:pPr>
        <w:pStyle w:val="MainBody"/>
      </w:pPr>
      <w:r>
        <w:t>The Banking Act of 1935 remade the Federal Reserve System. It is the most significant piece of legislation in the Fed’s history besides perhaps the 1913 Federal Reserve Act, a piece of legislation that—at least from the perspective of structural legislation—failed its major test in the Great Depression.</w:t>
      </w:r>
      <w:r w:rsidR="00AC3E29">
        <w:t xml:space="preserve"> Understanding its origins and its endurance is thus an important test of the punctuated coalitional theory of legislation. </w:t>
      </w:r>
    </w:p>
    <w:p w14:paraId="14B5DBE9" w14:textId="1F060998" w:rsidR="008E7C31" w:rsidRDefault="008E7C31" w:rsidP="008E7C31">
      <w:pPr>
        <w:pStyle w:val="Heading3"/>
      </w:pPr>
      <w:r>
        <w:t>Marriner Eccles—Policy Entrepreneur Extraordinaire</w:t>
      </w:r>
    </w:p>
    <w:p w14:paraId="737E78CE" w14:textId="794AADC0" w:rsidR="00AC3E29" w:rsidRDefault="00AC3E29" w:rsidP="004D5CE1">
      <w:pPr>
        <w:pStyle w:val="MainBody"/>
      </w:pPr>
      <w:r>
        <w:t>At the heart of the 1935 Act is Marriner Eccles, the Utah banker and later the first Chairman of the modern Federal Reserve System. Eccles, something of a pre-Keynesian devotee of Keyensian fiscal theories, charmed the new Roosevelt Administration and generated headlines as a millionaire banker who eloquently urged government to step into the breach to do what bankers themselves could not accomplish.</w:t>
      </w:r>
      <w:r w:rsidRPr="0097784F">
        <w:rPr>
          <w:rStyle w:val="FootnoteReference"/>
          <w:rFonts w:ascii="Garamond" w:hAnsi="Garamond"/>
        </w:rPr>
        <w:footnoteReference w:id="121"/>
      </w:r>
      <w:r>
        <w:t xml:space="preserve"> He also distinguished himself as a banker who survived the crises of 1930-1933 with his banks intact. He was a perfect foil to some of the Administration’s most vehement critics, and was himself willing and eager to join the fray.</w:t>
      </w:r>
    </w:p>
    <w:p w14:paraId="40F89A4F" w14:textId="5A355835" w:rsidR="004D5CE1" w:rsidRPr="00364B38" w:rsidRDefault="004D5CE1" w:rsidP="00364B38">
      <w:pPr>
        <w:tabs>
          <w:tab w:val="left" w:pos="360"/>
        </w:tabs>
        <w:spacing w:line="240" w:lineRule="auto"/>
        <w:rPr>
          <w:szCs w:val="24"/>
        </w:rPr>
      </w:pPr>
      <w:r>
        <w:tab/>
      </w:r>
      <w:r w:rsidRPr="004D5CE1">
        <w:rPr>
          <w:szCs w:val="24"/>
        </w:rPr>
        <w:t>Eccles joined the Administration as a special adviser to the president and to the U.S. Secretary of the Treasury. Eventually, Eccles was considered for the position of Governor of the Federal Reserve Board, not then a particularly prestigious position. To give a sense of how the Board Governor position was then perceived, the post became vacant when Eugene Black resigned—to take the position of Governor of the Federal Reserve Bank of Atlanta.</w:t>
      </w:r>
      <w:r w:rsidRPr="004D5CE1">
        <w:rPr>
          <w:szCs w:val="24"/>
          <w:vertAlign w:val="superscript"/>
        </w:rPr>
        <w:footnoteReference w:id="122"/>
      </w:r>
      <w:r w:rsidRPr="004D5CE1">
        <w:rPr>
          <w:szCs w:val="24"/>
        </w:rPr>
        <w:t xml:space="preserve"> Eccles initially refused the offer, despite broad </w:t>
      </w:r>
      <w:r w:rsidRPr="004D5CE1">
        <w:rPr>
          <w:szCs w:val="24"/>
        </w:rPr>
        <w:lastRenderedPageBreak/>
        <w:t>support for it within the Administration and in the press.</w:t>
      </w:r>
      <w:r w:rsidRPr="004D5CE1">
        <w:rPr>
          <w:rStyle w:val="FootnoteReference"/>
          <w:rFonts w:ascii="Garamond" w:hAnsi="Garamond"/>
          <w:szCs w:val="24"/>
        </w:rPr>
        <w:footnoteReference w:id="123"/>
      </w:r>
      <w:r w:rsidRPr="004D5CE1">
        <w:rPr>
          <w:szCs w:val="24"/>
        </w:rPr>
        <w:t xml:space="preserve"> In response to inquiries of his availability, he responded that he “would not touch the position of governor [of the Federal Reserve Board] with a ten-foot pole unless fundamental changes were made in the Federal Reserve System.” </w:t>
      </w:r>
      <w:r w:rsidRPr="004D5CE1">
        <w:rPr>
          <w:rStyle w:val="FootnoteReference"/>
          <w:rFonts w:ascii="Garamond" w:hAnsi="Garamond"/>
          <w:szCs w:val="24"/>
        </w:rPr>
        <w:footnoteReference w:id="124"/>
      </w:r>
    </w:p>
    <w:p w14:paraId="21A67137" w14:textId="5E88788B" w:rsidR="00364B38" w:rsidRPr="0097784F" w:rsidRDefault="00364B38" w:rsidP="00364B38">
      <w:pPr>
        <w:tabs>
          <w:tab w:val="left" w:pos="360"/>
        </w:tabs>
        <w:spacing w:line="240" w:lineRule="auto"/>
        <w:rPr>
          <w:szCs w:val="24"/>
        </w:rPr>
      </w:pPr>
      <w:r>
        <w:rPr>
          <w:szCs w:val="24"/>
        </w:rPr>
        <w:tab/>
      </w:r>
      <w:r w:rsidRPr="0097784F">
        <w:rPr>
          <w:szCs w:val="24"/>
        </w:rPr>
        <w:t>Roosevelt invited him to propose his view of what those changes should be, and he and an assistant prepared a three-page blueprint of what amounted to a refounding of the Federal Reserve that eliminated the Wilsonian compromise. He narrowed his sights on the tangle of the Fed’s governance, a theme to which he would return again and again</w:t>
      </w:r>
      <w:r>
        <w:rPr>
          <w:szCs w:val="24"/>
        </w:rPr>
        <w:t xml:space="preserve">. “There is no reason to suppose that this administrative organization which functioned so badly in </w:t>
      </w:r>
      <w:r w:rsidRPr="0097784F">
        <w:rPr>
          <w:bCs/>
          <w:szCs w:val="24"/>
        </w:rPr>
        <w:t>the past, will function any better in the future</w:t>
      </w:r>
      <w:r>
        <w:rPr>
          <w:bCs/>
          <w:szCs w:val="24"/>
        </w:rPr>
        <w:t>,” the Eccles memo intoned</w:t>
      </w:r>
      <w:r w:rsidRPr="0097784F">
        <w:rPr>
          <w:bCs/>
          <w:szCs w:val="24"/>
        </w:rPr>
        <w:t>.</w:t>
      </w:r>
      <w:r>
        <w:rPr>
          <w:rStyle w:val="FootnoteReference"/>
          <w:bCs/>
          <w:szCs w:val="24"/>
        </w:rPr>
        <w:footnoteReference w:id="125"/>
      </w:r>
      <w:r w:rsidRPr="0097784F">
        <w:rPr>
          <w:bCs/>
          <w:szCs w:val="24"/>
        </w:rPr>
        <w:t xml:space="preserve"> </w:t>
      </w:r>
      <w:r>
        <w:rPr>
          <w:bCs/>
          <w:szCs w:val="24"/>
        </w:rPr>
        <w:t>“</w:t>
      </w:r>
      <w:r w:rsidRPr="0097784F">
        <w:rPr>
          <w:bCs/>
          <w:szCs w:val="24"/>
        </w:rPr>
        <w:t>The diffusion of power and responsibility, the root cause of the trouble, remains. Over one hundred individuals are responsible, in various degrees, for the formulation of policy.</w:t>
      </w:r>
      <w:r w:rsidR="004C3AA4">
        <w:rPr>
          <w:bCs/>
          <w:szCs w:val="24"/>
        </w:rPr>
        <w:t>” The result was a lack of accountability, a lack of responsibility, and a general ethos “</w:t>
      </w:r>
      <w:r w:rsidRPr="0097784F">
        <w:rPr>
          <w:bCs/>
          <w:szCs w:val="24"/>
        </w:rPr>
        <w:t>characterized by inertia and indecisive action generally.</w:t>
      </w:r>
      <w:r w:rsidR="004C3AA4">
        <w:rPr>
          <w:bCs/>
          <w:szCs w:val="24"/>
        </w:rPr>
        <w:t>” The solution was “</w:t>
      </w:r>
      <w:r w:rsidRPr="0097784F">
        <w:rPr>
          <w:bCs/>
          <w:szCs w:val="24"/>
        </w:rPr>
        <w:t>in the direction of concentrating authority and responsibility for control into the hands of a small policy formulating body.</w:t>
      </w:r>
      <w:r w:rsidR="004C3AA4">
        <w:rPr>
          <w:bCs/>
          <w:szCs w:val="24"/>
        </w:rPr>
        <w:t>”</w:t>
      </w:r>
      <w:r w:rsidRPr="0097784F">
        <w:rPr>
          <w:bCs/>
          <w:szCs w:val="24"/>
          <w:vertAlign w:val="superscript"/>
        </w:rPr>
        <w:footnoteReference w:id="126"/>
      </w:r>
      <w:r w:rsidRPr="0097784F">
        <w:rPr>
          <w:szCs w:val="24"/>
        </w:rPr>
        <w:t xml:space="preserve"> </w:t>
      </w:r>
      <w:r w:rsidRPr="0097784F">
        <w:rPr>
          <w:szCs w:val="24"/>
        </w:rPr>
        <w:tab/>
      </w:r>
    </w:p>
    <w:p w14:paraId="2C08843E" w14:textId="228EB7D3" w:rsidR="00364B38" w:rsidRPr="0097784F" w:rsidRDefault="004C3AA4" w:rsidP="00364B38">
      <w:pPr>
        <w:tabs>
          <w:tab w:val="left" w:pos="360"/>
        </w:tabs>
        <w:spacing w:line="240" w:lineRule="auto"/>
        <w:rPr>
          <w:szCs w:val="24"/>
        </w:rPr>
      </w:pPr>
      <w:r>
        <w:rPr>
          <w:szCs w:val="24"/>
        </w:rPr>
        <w:tab/>
      </w:r>
      <w:r w:rsidR="00364B38" w:rsidRPr="0097784F">
        <w:rPr>
          <w:szCs w:val="24"/>
        </w:rPr>
        <w:t xml:space="preserve">The memorandum struck at the very heart of </w:t>
      </w:r>
      <w:r>
        <w:rPr>
          <w:szCs w:val="24"/>
        </w:rPr>
        <w:t xml:space="preserve">central banking, the decentralized system that was necessary just twenty years before to overcome the Jacksonian hostility to centralization that dominated the discussion of central banking. Indeed, what Eccles proposed was essentially to abolish what was “Federal” about the Fed and what was a “System.” (Roosevelt, by reneging on the commitment to gold, had already abolished what was “reserved.”). </w:t>
      </w:r>
      <w:r w:rsidR="00364B38" w:rsidRPr="0097784F">
        <w:rPr>
          <w:szCs w:val="24"/>
        </w:rPr>
        <w:t xml:space="preserve"> </w:t>
      </w:r>
    </w:p>
    <w:p w14:paraId="126547B0" w14:textId="2067F122" w:rsidR="00364B38" w:rsidRPr="0097784F" w:rsidRDefault="00364B38" w:rsidP="00364B38">
      <w:pPr>
        <w:tabs>
          <w:tab w:val="left" w:pos="360"/>
        </w:tabs>
        <w:spacing w:line="240" w:lineRule="auto"/>
        <w:rPr>
          <w:szCs w:val="24"/>
        </w:rPr>
      </w:pPr>
      <w:r w:rsidRPr="0097784F">
        <w:rPr>
          <w:szCs w:val="24"/>
        </w:rPr>
        <w:tab/>
      </w:r>
      <w:r w:rsidR="004C3AA4">
        <w:rPr>
          <w:szCs w:val="24"/>
        </w:rPr>
        <w:t xml:space="preserve">Throughout the process of negotiating, in the midst of these other legislative priorities, the contents of the Banking Act of 1935, Eccles and his assistant, Lachlan Currie, returned again and </w:t>
      </w:r>
      <w:r w:rsidR="004C3AA4">
        <w:rPr>
          <w:szCs w:val="24"/>
        </w:rPr>
        <w:lastRenderedPageBreak/>
        <w:t xml:space="preserve">again to the problem of the Fed’s structure. </w:t>
      </w:r>
      <w:r w:rsidRPr="0097784F">
        <w:rPr>
          <w:szCs w:val="24"/>
        </w:rPr>
        <w:t>“Decentralized control is almost a contradiction in terms</w:t>
      </w:r>
      <w:r w:rsidR="004C3AA4">
        <w:rPr>
          <w:szCs w:val="24"/>
        </w:rPr>
        <w:t>,” Currie wrote to Eccles in 1934</w:t>
      </w:r>
      <w:r w:rsidRPr="0097784F">
        <w:rPr>
          <w:szCs w:val="24"/>
        </w:rPr>
        <w:t xml:space="preserve">. </w:t>
      </w:r>
      <w:r w:rsidR="004C3AA4">
        <w:rPr>
          <w:szCs w:val="24"/>
        </w:rPr>
        <w:t>“</w:t>
      </w:r>
      <w:r w:rsidRPr="0097784F">
        <w:rPr>
          <w:szCs w:val="24"/>
        </w:rPr>
        <w:t xml:space="preserve">The more decentralization the less possibility there is of control.” The </w:t>
      </w:r>
      <w:r w:rsidR="004C3AA4">
        <w:rPr>
          <w:szCs w:val="24"/>
        </w:rPr>
        <w:t xml:space="preserve">1913 Act’s creation of </w:t>
      </w:r>
      <w:r w:rsidRPr="0097784F">
        <w:rPr>
          <w:szCs w:val="24"/>
        </w:rPr>
        <w:t xml:space="preserve">ad hoc institutional </w:t>
      </w:r>
      <w:r w:rsidR="004C3AA4">
        <w:rPr>
          <w:szCs w:val="24"/>
        </w:rPr>
        <w:t xml:space="preserve">levers consisted of </w:t>
      </w:r>
      <w:r w:rsidRPr="0097784F">
        <w:rPr>
          <w:szCs w:val="24"/>
        </w:rPr>
        <w:t>“fourteen bodies composed of 128 men who either initiate policy or share in varying degrees in the responsibility for policy.” (The fourteen were the twelve Federal Reserve Banks, the Federal Reserve Board, and the once powerful Federal Advisory Council, a group of bankers that was to advise the Federal Reserve Board.) These various bodies, their governors and boards, created made governance and public accountability virtually an impossibility. Currie glumly concluded that “[s]uch a system of checks and balances is calculated to encourage irresponsibility, conflict, friction, and political maneuvering” such that “anybody who secures a predominating influence must concentrate on handling men rather than thinking about policies.”</w:t>
      </w:r>
      <w:r w:rsidRPr="0097784F">
        <w:rPr>
          <w:szCs w:val="24"/>
          <w:vertAlign w:val="superscript"/>
        </w:rPr>
        <w:footnoteReference w:id="127"/>
      </w:r>
    </w:p>
    <w:p w14:paraId="73F0E71C" w14:textId="6AE7DF59" w:rsidR="00364B38" w:rsidRPr="0097784F" w:rsidRDefault="00364B38" w:rsidP="00364B38">
      <w:pPr>
        <w:tabs>
          <w:tab w:val="left" w:pos="360"/>
        </w:tabs>
        <w:spacing w:line="240" w:lineRule="auto"/>
        <w:rPr>
          <w:szCs w:val="24"/>
        </w:rPr>
      </w:pPr>
      <w:r w:rsidRPr="0097784F">
        <w:rPr>
          <w:szCs w:val="24"/>
        </w:rPr>
        <w:tab/>
        <w:t xml:space="preserve">Roosevelt was sold on the proposal. He committed the Presidency to the passage of Eccles’s bill, and Eccles accepted the </w:t>
      </w:r>
      <w:r w:rsidR="004C3AA4">
        <w:rPr>
          <w:szCs w:val="24"/>
        </w:rPr>
        <w:t xml:space="preserve">Fed’s </w:t>
      </w:r>
      <w:r w:rsidRPr="0097784F">
        <w:rPr>
          <w:szCs w:val="24"/>
        </w:rPr>
        <w:t>Governorship</w:t>
      </w:r>
      <w:r w:rsidR="004C3AA4">
        <w:rPr>
          <w:szCs w:val="24"/>
        </w:rPr>
        <w:t xml:space="preserve"> (recall that the Fed Chairman at that time was the Secretary of the Treasury) </w:t>
      </w:r>
      <w:r w:rsidRPr="0097784F">
        <w:rPr>
          <w:szCs w:val="24"/>
        </w:rPr>
        <w:t>so that he could more effectively lead the legislation through Congress from inside the Fed</w:t>
      </w:r>
      <w:r w:rsidR="004C3AA4">
        <w:rPr>
          <w:szCs w:val="24"/>
        </w:rPr>
        <w:t xml:space="preserve"> rather than from inside the Administration</w:t>
      </w:r>
      <w:r w:rsidRPr="0097784F">
        <w:rPr>
          <w:szCs w:val="24"/>
        </w:rPr>
        <w:t xml:space="preserve">. </w:t>
      </w:r>
    </w:p>
    <w:p w14:paraId="7BDF1308" w14:textId="51B8436B" w:rsidR="00364B38" w:rsidRPr="0097784F" w:rsidRDefault="00364B38" w:rsidP="008E7C31">
      <w:pPr>
        <w:pStyle w:val="Heading3"/>
      </w:pPr>
      <w:bookmarkStart w:id="9" w:name="_Toc480185118"/>
      <w:r w:rsidRPr="0097784F">
        <w:t xml:space="preserve">Father Coughlin and </w:t>
      </w:r>
      <w:r w:rsidR="008E7C31">
        <w:t xml:space="preserve">the Anti-Coalition of Populist Central Banking </w:t>
      </w:r>
      <w:bookmarkEnd w:id="9"/>
    </w:p>
    <w:p w14:paraId="0B552E1E" w14:textId="39E9DFB0" w:rsidR="008E7C31" w:rsidRDefault="00364B38" w:rsidP="008E7C31">
      <w:pPr>
        <w:tabs>
          <w:tab w:val="left" w:pos="360"/>
        </w:tabs>
        <w:spacing w:line="240" w:lineRule="auto"/>
        <w:rPr>
          <w:szCs w:val="24"/>
        </w:rPr>
      </w:pPr>
      <w:r w:rsidRPr="0097784F">
        <w:rPr>
          <w:szCs w:val="24"/>
        </w:rPr>
        <w:tab/>
      </w:r>
      <w:r w:rsidR="004C3AA4">
        <w:rPr>
          <w:szCs w:val="24"/>
        </w:rPr>
        <w:t>The Banking Act thus entered into the crowded legislative field, the “least controversial” of the five major bills that Congress debated simultaneously.</w:t>
      </w:r>
      <w:r w:rsidR="004C3AA4">
        <w:rPr>
          <w:rStyle w:val="FootnoteReference"/>
          <w:szCs w:val="24"/>
        </w:rPr>
        <w:footnoteReference w:id="128"/>
      </w:r>
      <w:r w:rsidR="00A15885">
        <w:rPr>
          <w:szCs w:val="24"/>
        </w:rPr>
        <w:t xml:space="preserve"> But that isn’t to say that no one else was paying attention to banking in 1935. </w:t>
      </w:r>
      <w:r w:rsidRPr="0097784F">
        <w:rPr>
          <w:szCs w:val="24"/>
        </w:rPr>
        <w:t xml:space="preserve">In fact, an often forgotten counterpoint to Fed histories of the Banking Act of 1935 is Charles Coughlin, the “radio priest” and one of the most successful political dissidents in American history. Coughlin would </w:t>
      </w:r>
      <w:r w:rsidR="00A15885">
        <w:rPr>
          <w:szCs w:val="24"/>
        </w:rPr>
        <w:t xml:space="preserve">also later </w:t>
      </w:r>
      <w:r w:rsidRPr="0097784F">
        <w:rPr>
          <w:szCs w:val="24"/>
        </w:rPr>
        <w:t xml:space="preserve">be known as “one of the nation’s most notorious extremists: an outspoken anti-Semite, a rabid anti-communist, a </w:t>
      </w:r>
      <w:r w:rsidRPr="0097784F">
        <w:rPr>
          <w:szCs w:val="24"/>
        </w:rPr>
        <w:lastRenderedPageBreak/>
        <w:t>strident isolationist, and, increasingly, a cautious admirer of Benito Mussolini and Adolf Hitler.”</w:t>
      </w:r>
      <w:r w:rsidRPr="0097784F">
        <w:rPr>
          <w:rStyle w:val="FootnoteReference"/>
          <w:rFonts w:ascii="Garamond" w:hAnsi="Garamond"/>
          <w:szCs w:val="24"/>
        </w:rPr>
        <w:footnoteReference w:id="129"/>
      </w:r>
    </w:p>
    <w:p w14:paraId="37EA0F78" w14:textId="51CA3053" w:rsidR="00364B38" w:rsidRPr="0097784F" w:rsidRDefault="008E7C31" w:rsidP="00364B38">
      <w:pPr>
        <w:tabs>
          <w:tab w:val="left" w:pos="360"/>
        </w:tabs>
        <w:spacing w:line="240" w:lineRule="auto"/>
        <w:rPr>
          <w:szCs w:val="24"/>
        </w:rPr>
      </w:pPr>
      <w:r>
        <w:rPr>
          <w:szCs w:val="24"/>
        </w:rPr>
        <w:tab/>
      </w:r>
      <w:r w:rsidR="00A15885">
        <w:rPr>
          <w:szCs w:val="24"/>
        </w:rPr>
        <w:t>But this came later. W</w:t>
      </w:r>
      <w:r w:rsidR="00364B38" w:rsidRPr="0097784F">
        <w:rPr>
          <w:szCs w:val="24"/>
        </w:rPr>
        <w:t>hile Eccles was finding his way in the Roosevelt Administration and plotting the overhaul of the Federal Reserve System, Coughlin commanded a radio audience of over 40 million people and made a very different kind of overhaul central to that message.</w:t>
      </w:r>
      <w:r w:rsidR="00364B38" w:rsidRPr="0097784F">
        <w:rPr>
          <w:szCs w:val="24"/>
          <w:vertAlign w:val="superscript"/>
        </w:rPr>
        <w:footnoteReference w:id="130"/>
      </w:r>
      <w:r w:rsidR="00364B38" w:rsidRPr="0097784F">
        <w:rPr>
          <w:szCs w:val="24"/>
        </w:rPr>
        <w:t xml:space="preserve">  </w:t>
      </w:r>
      <w:r w:rsidRPr="008E7C31">
        <w:rPr>
          <w:szCs w:val="24"/>
        </w:rPr>
        <w:t>Novelist Wallace Stegner, a regular listener, described Coughlin’s as “a voice of such mellow richness, such manly, heart-warming, confidential intimacy, such emotional and ingratiating charm, that anyone tuning past it on the radio dial almost automatically returned to hear it again.” It was “without doubt one of the great speaking voices of the twentieth century, . . . a voice made for promises.”</w:t>
      </w:r>
      <w:r w:rsidRPr="008E7C31">
        <w:rPr>
          <w:szCs w:val="24"/>
          <w:vertAlign w:val="superscript"/>
        </w:rPr>
        <w:footnoteReference w:id="131"/>
      </w:r>
    </w:p>
    <w:p w14:paraId="412B8B3F" w14:textId="77744355" w:rsidR="00364B38" w:rsidRPr="0097784F" w:rsidRDefault="00364B38" w:rsidP="00364B38">
      <w:pPr>
        <w:tabs>
          <w:tab w:val="left" w:pos="360"/>
        </w:tabs>
        <w:spacing w:line="240" w:lineRule="auto"/>
        <w:rPr>
          <w:szCs w:val="24"/>
        </w:rPr>
      </w:pPr>
      <w:r w:rsidRPr="0097784F">
        <w:rPr>
          <w:szCs w:val="24"/>
        </w:rPr>
        <w:tab/>
        <w:t>Coughlin</w:t>
      </w:r>
      <w:r w:rsidR="008E7C31">
        <w:rPr>
          <w:szCs w:val="24"/>
        </w:rPr>
        <w:t xml:space="preserve"> took an early interest in banking as a platform for his dissent. His critique was not about </w:t>
      </w:r>
      <w:r w:rsidRPr="0097784F">
        <w:rPr>
          <w:szCs w:val="24"/>
        </w:rPr>
        <w:t>central bank governance. It was a morality play with scheming villainy that attached to both features of institutionalized money that are perennial themes in U.S. history. “I believe in the abolition of the privately owned Federal Reserve Banking system . . . and in the establishment of a Government-owned central bank,” he said on radio (and later published as a manifesto). It was banker control that he resented. “I believe in rescuing from the hands of private owners the right to coin and regulate the value of money, which right must be restored to Congress where it belongs.”</w:t>
      </w:r>
      <w:r w:rsidRPr="0097784F">
        <w:rPr>
          <w:rStyle w:val="FootnoteReference"/>
          <w:rFonts w:ascii="Garamond" w:hAnsi="Garamond"/>
          <w:szCs w:val="24"/>
        </w:rPr>
        <w:footnoteReference w:id="132"/>
      </w:r>
    </w:p>
    <w:p w14:paraId="3E89BD70" w14:textId="77777777" w:rsidR="00364B38" w:rsidRPr="0097784F" w:rsidRDefault="00364B38" w:rsidP="00364B38">
      <w:pPr>
        <w:tabs>
          <w:tab w:val="left" w:pos="360"/>
        </w:tabs>
        <w:spacing w:line="240" w:lineRule="auto"/>
        <w:rPr>
          <w:szCs w:val="24"/>
        </w:rPr>
      </w:pPr>
      <w:r w:rsidRPr="0097784F">
        <w:rPr>
          <w:szCs w:val="24"/>
        </w:rPr>
        <w:tab/>
        <w:t>By 1935, as Eccles was beginning to lay his assault on the Federal Reserve System, Coughlin’s proposals were more specific and far more sweeping than his earlier complaints had permitted. Coughlin sought a “Bank of the United States of America” that, unlike either the previous two Banks and the Federal Reserve System, would not have</w:t>
      </w:r>
      <w:r w:rsidRPr="0097784F">
        <w:rPr>
          <w:i/>
          <w:szCs w:val="24"/>
        </w:rPr>
        <w:t xml:space="preserve"> any </w:t>
      </w:r>
      <w:r w:rsidRPr="0097784F">
        <w:rPr>
          <w:szCs w:val="24"/>
        </w:rPr>
        <w:t xml:space="preserve">private participation. Indeed, the public participation would not be through the bureaucracy, but through the franchise: it would be a “financial democracy,” with </w:t>
      </w:r>
      <w:r w:rsidRPr="0097784F">
        <w:rPr>
          <w:szCs w:val="24"/>
        </w:rPr>
        <w:lastRenderedPageBreak/>
        <w:t>each state entitled to elect a representative of the people. It would be, in a sense, an alternative government to the constitutional order established in 1789.</w:t>
      </w:r>
      <w:r w:rsidRPr="0097784F">
        <w:rPr>
          <w:rStyle w:val="FootnoteReference"/>
          <w:rFonts w:ascii="Garamond" w:hAnsi="Garamond"/>
          <w:szCs w:val="24"/>
        </w:rPr>
        <w:footnoteReference w:id="133"/>
      </w:r>
      <w:r w:rsidRPr="0097784F">
        <w:rPr>
          <w:szCs w:val="24"/>
        </w:rPr>
        <w:t xml:space="preserve">  </w:t>
      </w:r>
    </w:p>
    <w:p w14:paraId="45354B74" w14:textId="6AD05494" w:rsidR="00364B38" w:rsidRPr="0097784F" w:rsidRDefault="00364B38" w:rsidP="00364B38">
      <w:pPr>
        <w:tabs>
          <w:tab w:val="left" w:pos="360"/>
        </w:tabs>
        <w:spacing w:line="240" w:lineRule="auto"/>
        <w:rPr>
          <w:szCs w:val="24"/>
        </w:rPr>
      </w:pPr>
      <w:r w:rsidRPr="0097784F">
        <w:rPr>
          <w:szCs w:val="24"/>
        </w:rPr>
        <w:tab/>
        <w:t xml:space="preserve">Coughlin’s views were not persuasive to </w:t>
      </w:r>
      <w:r w:rsidR="008E7C31">
        <w:rPr>
          <w:szCs w:val="24"/>
        </w:rPr>
        <w:t xml:space="preserve">nearly anyone in </w:t>
      </w:r>
      <w:r w:rsidRPr="0097784F">
        <w:rPr>
          <w:szCs w:val="24"/>
        </w:rPr>
        <w:t>official Washington, but no one could argue with his audience, or with his popularity. In the minds of his listeners, the Catholic priest and former teacher was a leading authority on monetary and financial matters. Eccles, then, could and did exploit that difference. Eccles considered Coughlin a “money crank”</w:t>
      </w:r>
      <w:r w:rsidR="008E7C31">
        <w:rPr>
          <w:szCs w:val="24"/>
        </w:rPr>
        <w:t xml:space="preserve">. But this only permitted Eccles, deemed a radical by many, to present as a moderate against the status quo of the Carter Glass-approved 1913 Federal Reserve System and the irresponsible overhaul proposed by Coughlin. </w:t>
      </w:r>
    </w:p>
    <w:p w14:paraId="13E21AFB" w14:textId="77777777" w:rsidR="00364B38" w:rsidRPr="0097784F" w:rsidRDefault="00364B38" w:rsidP="008E7C31">
      <w:pPr>
        <w:pStyle w:val="Heading3"/>
      </w:pPr>
      <w:bookmarkStart w:id="10" w:name="_Toc480185119"/>
      <w:r w:rsidRPr="0097784F">
        <w:t>The Moderate Banking Act of 1935</w:t>
      </w:r>
      <w:bookmarkEnd w:id="10"/>
      <w:r w:rsidRPr="0097784F">
        <w:tab/>
        <w:t xml:space="preserve"> </w:t>
      </w:r>
    </w:p>
    <w:p w14:paraId="6431DD08" w14:textId="77777777" w:rsidR="00364B38" w:rsidRPr="0097784F" w:rsidRDefault="00364B38" w:rsidP="00364B38">
      <w:pPr>
        <w:tabs>
          <w:tab w:val="left" w:pos="360"/>
        </w:tabs>
        <w:spacing w:line="240" w:lineRule="auto"/>
        <w:rPr>
          <w:szCs w:val="24"/>
        </w:rPr>
      </w:pPr>
      <w:r w:rsidRPr="0097784F">
        <w:rPr>
          <w:szCs w:val="24"/>
        </w:rPr>
        <w:tab/>
        <w:t>With Coughlin on his left flank, Eccles set out to redefine the Fed with the tacit support of a popular president against what would be clear opposition. His memorandum to the president reflected much of the earlier thinking between him and Currie, but contains the clearest statement of Eccles’s conceptions of what a central bank should be, presented as an eight-point memorandum that reads at times like an eight-point manifesto.</w:t>
      </w:r>
      <w:r w:rsidRPr="0097784F">
        <w:rPr>
          <w:rStyle w:val="FootnoteReference"/>
          <w:rFonts w:ascii="Garamond" w:hAnsi="Garamond"/>
          <w:szCs w:val="24"/>
        </w:rPr>
        <w:footnoteReference w:id="134"/>
      </w:r>
      <w:r w:rsidRPr="0097784F">
        <w:rPr>
          <w:szCs w:val="24"/>
        </w:rPr>
        <w:t xml:space="preserve"> After discussing in preliminary points the basic connections between the banking and monetary systems and the overall problems facing the country, Eccles set his sights on the administrative chaos that Wilson, Glass, and the process of institutionalization—though he did not use the term—had wrought on the Federal Reserve System. </w:t>
      </w:r>
    </w:p>
    <w:p w14:paraId="67F9718B" w14:textId="77777777" w:rsidR="00364B38" w:rsidRPr="0097784F" w:rsidRDefault="00364B38" w:rsidP="00364B38">
      <w:pPr>
        <w:tabs>
          <w:tab w:val="left" w:pos="360"/>
        </w:tabs>
        <w:spacing w:line="240" w:lineRule="auto"/>
        <w:rPr>
          <w:szCs w:val="24"/>
        </w:rPr>
      </w:pPr>
      <w:r w:rsidRPr="0097784F">
        <w:rPr>
          <w:szCs w:val="24"/>
        </w:rPr>
        <w:tab/>
        <w:t xml:space="preserve">The problem was the Federal Reserve Banks and the vaunted status of their Governors. The Federal Reserve Act never mentioned them, but they had “attained positions of major importance in influencing policy” despite being entirely severed from any kind of political accountability. It was this problem—on a bureaucratic level, on a democratic level—that Eccles wanted to change. “Although the Board is nominally the supreme </w:t>
      </w:r>
      <w:r w:rsidRPr="0097784F">
        <w:rPr>
          <w:szCs w:val="24"/>
        </w:rPr>
        <w:lastRenderedPageBreak/>
        <w:t>monetary authority in this country,” Currie wrote Eccles, in a memo debating strategy, “it is generally conceded that in the past it has not played an effective role, and that the system has been generally dominated by the Governors of the Federal Reserve Banks.” As an “unfortunate result,” he continued, “banker interest, as represented by the individual Reserve Bank Governors, has prevailed over the public interest, as represented by the Board.” Eccles’s position was notable: Eccles was himself a banker whose views were represented by the Federal Reserve Bank of San Francisco, and yet he sought the Banks’ exclusion from national policy. The problem wasn’t only one of inappropriate banker influence on the System; it was also one of governance. “With such an organization” wrote Currie, “it is almost impossible to place definite responsibility anywhere. The layman is completely bewildered by all the officers, banks and boards. Even the outside experts know only the legal forms.” This was the problem that Eccles wanted to solve.</w:t>
      </w:r>
      <w:r w:rsidRPr="0097784F">
        <w:rPr>
          <w:szCs w:val="24"/>
          <w:vertAlign w:val="superscript"/>
        </w:rPr>
        <w:footnoteReference w:id="135"/>
      </w:r>
    </w:p>
    <w:p w14:paraId="6785C214" w14:textId="77777777" w:rsidR="00364B38" w:rsidRPr="0097784F" w:rsidRDefault="00364B38" w:rsidP="00364B38">
      <w:pPr>
        <w:widowControl w:val="0"/>
        <w:suppressLineNumbers/>
        <w:tabs>
          <w:tab w:val="left" w:pos="360"/>
        </w:tabs>
        <w:spacing w:line="240" w:lineRule="auto"/>
        <w:ind w:firstLine="360"/>
        <w:rPr>
          <w:szCs w:val="24"/>
        </w:rPr>
      </w:pPr>
      <w:r w:rsidRPr="0097784F">
        <w:rPr>
          <w:szCs w:val="24"/>
        </w:rPr>
        <w:t xml:space="preserve">This old debate, then, had come again. It was nearly the same as had occupied Jefferson and Hamilton, and, as Glass never tired of reminding those gathered, it was the problem the framers of the Federal Reserve System in 1913 had thought they had solved with the great Wilsonian compromise. But those who opposed the “Eccles bill” as it was (rightly) coming to be called didn’t count on the two extremes that were otherwise dominating the discussion: something like the public control that Father Coughlin was then advocating and what was regarded as the failure of laissez-faire that the First Federal Reserve System seemed to represent. </w:t>
      </w:r>
    </w:p>
    <w:p w14:paraId="11735847" w14:textId="77777777" w:rsidR="00364B38" w:rsidRPr="0097784F" w:rsidRDefault="00364B38" w:rsidP="00364B38">
      <w:pPr>
        <w:widowControl w:val="0"/>
        <w:suppressLineNumbers/>
        <w:tabs>
          <w:tab w:val="left" w:pos="360"/>
        </w:tabs>
        <w:spacing w:line="240" w:lineRule="auto"/>
        <w:ind w:firstLine="360"/>
        <w:rPr>
          <w:bCs/>
          <w:szCs w:val="24"/>
        </w:rPr>
      </w:pPr>
      <w:r w:rsidRPr="0097784F">
        <w:rPr>
          <w:szCs w:val="24"/>
        </w:rPr>
        <w:t>Eccles knew that keeping the strategy within that context was an advantage over those who would have dropped the entire system. “The adoption of</w:t>
      </w:r>
      <w:r w:rsidRPr="0097784F">
        <w:rPr>
          <w:bCs/>
          <w:szCs w:val="24"/>
        </w:rPr>
        <w:t xml:space="preserve"> these suggestions would introduce certain attributes of a real central bank capable of energetic and positive action without calling for a drastic revision of the whole Federal Reserve Act,” Eccles wrote to the President. “Private ownership and local autonomy are preserved, but on really important questions of policy authority and responsibility are concentrated in the Board. Thus, effective control is obtained, while the intense opposition and criticism that greets every central bank proposal </w:t>
      </w:r>
      <w:r w:rsidRPr="0097784F">
        <w:rPr>
          <w:bCs/>
          <w:szCs w:val="24"/>
        </w:rPr>
        <w:lastRenderedPageBreak/>
        <w:t xml:space="preserve">is largely avoided.” Whether or not he was being disingenuous is an open question, but the overhaul he had in mind was already being marketed—to the President, as it would to the public—not as an overhaul, but as a clarification. </w:t>
      </w:r>
    </w:p>
    <w:p w14:paraId="110E5B8F" w14:textId="77777777" w:rsidR="00364B38" w:rsidRPr="0097784F" w:rsidRDefault="00364B38" w:rsidP="00364B38">
      <w:pPr>
        <w:widowControl w:val="0"/>
        <w:suppressLineNumbers/>
        <w:tabs>
          <w:tab w:val="left" w:pos="360"/>
        </w:tabs>
        <w:spacing w:line="240" w:lineRule="auto"/>
        <w:ind w:firstLine="360"/>
        <w:rPr>
          <w:bCs/>
          <w:szCs w:val="24"/>
        </w:rPr>
      </w:pPr>
      <w:r w:rsidRPr="0097784F">
        <w:rPr>
          <w:bCs/>
          <w:szCs w:val="24"/>
        </w:rPr>
        <w:t>As Eccles records it, Roosevelt cautioned that the proposals would be controversial, but that they were desirable. He had the president’s blessing.</w:t>
      </w:r>
      <w:r w:rsidRPr="0097784F">
        <w:rPr>
          <w:rStyle w:val="FootnoteReference"/>
          <w:rFonts w:ascii="Garamond" w:hAnsi="Garamond"/>
          <w:bCs/>
          <w:szCs w:val="24"/>
        </w:rPr>
        <w:footnoteReference w:id="136"/>
      </w:r>
    </w:p>
    <w:p w14:paraId="6EDB4687" w14:textId="77777777" w:rsidR="00364B38" w:rsidRPr="0097784F" w:rsidRDefault="00364B38" w:rsidP="008E7C31">
      <w:pPr>
        <w:pStyle w:val="Heading3"/>
      </w:pPr>
      <w:bookmarkStart w:id="11" w:name="_Toc480185120"/>
      <w:r w:rsidRPr="0097784F">
        <w:t>Eccles, the Banking Act, and the Governor Appointment</w:t>
      </w:r>
      <w:bookmarkEnd w:id="11"/>
    </w:p>
    <w:p w14:paraId="6D2D911E" w14:textId="77777777" w:rsidR="00364B38" w:rsidRPr="0097784F" w:rsidRDefault="00364B38" w:rsidP="00364B38">
      <w:pPr>
        <w:tabs>
          <w:tab w:val="left" w:pos="360"/>
        </w:tabs>
        <w:spacing w:line="240" w:lineRule="auto"/>
        <w:rPr>
          <w:szCs w:val="24"/>
        </w:rPr>
      </w:pPr>
      <w:r w:rsidRPr="0097784F">
        <w:rPr>
          <w:szCs w:val="24"/>
        </w:rPr>
        <w:tab/>
        <w:t>A week after he submitted his final memorandum to the president, he had not only Roosevelt’s blessing on the suite of reforms, but also his appointment as Governor of the Federal Reserve Board. Within weeks, Eccles’s proposal would formally arrive at Congress. The Chairman of the Federal Reserve Board and Governor—previously, two separate positions, with the Secretary of the Treasury in the first and Eccles’s predecessors in the second—would be merged. Salaries would be raised to attract top talent, avoiding the embarrassing situation where the Governor of the Federal Reserve Board would resign in favor of becoming the Governor of a Federal Reserve Bank (as had happened with Eugene Black). The Board would control reserve requirements over member banks, and the FOMC would be reconstituted to have Board control.</w:t>
      </w:r>
      <w:r w:rsidRPr="0097784F">
        <w:rPr>
          <w:rStyle w:val="FootnoteReference"/>
          <w:rFonts w:ascii="Garamond" w:hAnsi="Garamond"/>
          <w:szCs w:val="24"/>
        </w:rPr>
        <w:footnoteReference w:id="137"/>
      </w:r>
      <w:r w:rsidRPr="0097784F">
        <w:rPr>
          <w:szCs w:val="24"/>
        </w:rPr>
        <w:t xml:space="preserve">  </w:t>
      </w:r>
    </w:p>
    <w:p w14:paraId="08251148" w14:textId="77777777" w:rsidR="00364B38" w:rsidRPr="0097784F" w:rsidRDefault="00364B38" w:rsidP="00364B38">
      <w:pPr>
        <w:tabs>
          <w:tab w:val="left" w:pos="360"/>
        </w:tabs>
        <w:spacing w:line="240" w:lineRule="auto"/>
        <w:rPr>
          <w:szCs w:val="24"/>
        </w:rPr>
      </w:pPr>
      <w:r w:rsidRPr="0097784F">
        <w:rPr>
          <w:szCs w:val="24"/>
        </w:rPr>
        <w:tab/>
        <w:t xml:space="preserve">The House was much more sympathetic to the proposal than the Senate. There were questions at the heart of what Eccles was trying to accomplish: “What is the difference between this measure and an outright central bank?” To this question, Eccles equivocated. “Well, I do not know just what you mean by ‘central bank’,” he began, before explaining that “the Federal Reserve System has always been expected to perform certain functions of a central bank. It was set up on the basis of certain regional autonomy, due, I suppose, in part, to the opposition to centralization in this country at the time the Federal Reserve System was set up.” Eccles knew he had to avoid the damning label, and so </w:t>
      </w:r>
      <w:r w:rsidRPr="0097784F">
        <w:rPr>
          <w:szCs w:val="24"/>
        </w:rPr>
        <w:lastRenderedPageBreak/>
        <w:t>made clear: “The proposed bill in no way changes the physical structure.”</w:t>
      </w:r>
      <w:r w:rsidRPr="0097784F">
        <w:rPr>
          <w:rStyle w:val="FootnoteReference"/>
          <w:rFonts w:ascii="Garamond" w:hAnsi="Garamond"/>
          <w:szCs w:val="24"/>
        </w:rPr>
        <w:footnoteReference w:id="138"/>
      </w:r>
      <w:r w:rsidRPr="0097784F">
        <w:rPr>
          <w:szCs w:val="24"/>
        </w:rPr>
        <w:t xml:space="preserve"> </w:t>
      </w:r>
    </w:p>
    <w:p w14:paraId="6C57A968" w14:textId="7CF658CB" w:rsidR="00364B38" w:rsidRPr="0097784F" w:rsidRDefault="00364B38" w:rsidP="008E7C31">
      <w:pPr>
        <w:tabs>
          <w:tab w:val="left" w:pos="360"/>
        </w:tabs>
        <w:spacing w:line="240" w:lineRule="auto"/>
        <w:rPr>
          <w:szCs w:val="24"/>
        </w:rPr>
      </w:pPr>
      <w:r w:rsidRPr="0097784F">
        <w:rPr>
          <w:szCs w:val="24"/>
        </w:rPr>
        <w:tab/>
        <w:t xml:space="preserve">This explanation was enough for the Democrats, but not the Republicans. They were struck especially by how the bill was prepared, so much in secret given the redesign. Representative John Hollister, Republican of Ohio, thought the bill represented an abolition of that private structure. </w:t>
      </w:r>
      <w:r w:rsidR="008E7C31">
        <w:rPr>
          <w:szCs w:val="24"/>
        </w:rPr>
        <w:t>“</w:t>
      </w:r>
      <w:r w:rsidRPr="0097784F">
        <w:rPr>
          <w:szCs w:val="24"/>
        </w:rPr>
        <w:t>You have today a Federal Reserve Board that is charged with responsibility, and no one would deny that the Federal Reserve Board today has enormous power, enormous authority, and enormous responsibility</w:t>
      </w:r>
      <w:r w:rsidR="008E7C31">
        <w:rPr>
          <w:szCs w:val="24"/>
        </w:rPr>
        <w:t>.” But they needed to be balanced by the power of the “</w:t>
      </w:r>
      <w:r w:rsidRPr="0097784F">
        <w:rPr>
          <w:szCs w:val="24"/>
        </w:rPr>
        <w:t>12 banks which have considerable—not considerable, but some—independence, not as much as they used to have.</w:t>
      </w:r>
      <w:r w:rsidR="008E7C31">
        <w:rPr>
          <w:szCs w:val="24"/>
        </w:rPr>
        <w:t>” Hollister did not say they needed more independence, “</w:t>
      </w:r>
      <w:r w:rsidRPr="0097784F">
        <w:rPr>
          <w:szCs w:val="24"/>
        </w:rPr>
        <w:t>but I just dread taking away what they have left.</w:t>
      </w:r>
      <w:r w:rsidR="008E7C31">
        <w:rPr>
          <w:szCs w:val="24"/>
        </w:rPr>
        <w:t>”</w:t>
      </w:r>
      <w:r w:rsidRPr="0097784F">
        <w:rPr>
          <w:rStyle w:val="FootnoteReference"/>
          <w:rFonts w:ascii="Garamond" w:hAnsi="Garamond"/>
          <w:szCs w:val="24"/>
        </w:rPr>
        <w:footnoteReference w:id="139"/>
      </w:r>
    </w:p>
    <w:p w14:paraId="0F742817" w14:textId="02B737F3" w:rsidR="00364B38" w:rsidRPr="0097784F" w:rsidRDefault="008E7C31" w:rsidP="00364B38">
      <w:pPr>
        <w:tabs>
          <w:tab w:val="left" w:pos="360"/>
        </w:tabs>
        <w:spacing w:line="240" w:lineRule="auto"/>
        <w:rPr>
          <w:szCs w:val="24"/>
        </w:rPr>
      </w:pPr>
      <w:r>
        <w:rPr>
          <w:szCs w:val="24"/>
        </w:rPr>
        <w:tab/>
        <w:t>T</w:t>
      </w:r>
      <w:r w:rsidR="00364B38" w:rsidRPr="0097784F">
        <w:rPr>
          <w:szCs w:val="24"/>
        </w:rPr>
        <w:t xml:space="preserve">o this, Eccles stuck to his legislative and rhetorical strategy. “I do not believe that we are taking it away,” Eccles responded. The changes were only for clarity, not redesign. </w:t>
      </w:r>
    </w:p>
    <w:p w14:paraId="7632C235" w14:textId="77777777" w:rsidR="00364B38" w:rsidRPr="0097784F" w:rsidRDefault="00364B38" w:rsidP="00364B38">
      <w:pPr>
        <w:tabs>
          <w:tab w:val="left" w:pos="360"/>
        </w:tabs>
        <w:spacing w:line="240" w:lineRule="auto"/>
        <w:rPr>
          <w:szCs w:val="24"/>
        </w:rPr>
      </w:pPr>
      <w:r w:rsidRPr="0097784F">
        <w:rPr>
          <w:szCs w:val="24"/>
        </w:rPr>
        <w:tab/>
        <w:t>Some Democrats, channeling Father Coughlin, pushed Eccles in the other direction. Clyde Williams, a Democrat from Missouri, noted the “considerable agitation, a good deal of comment in the country, about the Government owning these institutions.”</w:t>
      </w:r>
      <w:r w:rsidRPr="0097784F">
        <w:rPr>
          <w:rStyle w:val="FootnoteReference"/>
          <w:rFonts w:ascii="Garamond" w:hAnsi="Garamond"/>
          <w:szCs w:val="24"/>
        </w:rPr>
        <w:footnoteReference w:id="140"/>
      </w:r>
      <w:r w:rsidRPr="0097784F">
        <w:rPr>
          <w:szCs w:val="24"/>
        </w:rPr>
        <w:t xml:space="preserve"> Why not just go all the way toward that model? Why the intermediate step? Here, Eccles sought to have it both ways. “I see no reason why a management selected with the Government owning the stock would insure the System being operated in the public interest anymore than would be the case with members of the Federal Reserve Board being appointed by the President of the United States.” He concluded, “it is not so much who owns the bank as it is the way the bank is set up and the responsibility with which it is charged.”</w:t>
      </w:r>
      <w:r w:rsidRPr="0097784F">
        <w:rPr>
          <w:rStyle w:val="FootnoteReference"/>
          <w:rFonts w:ascii="Garamond" w:hAnsi="Garamond"/>
          <w:szCs w:val="24"/>
        </w:rPr>
        <w:footnoteReference w:id="141"/>
      </w:r>
    </w:p>
    <w:p w14:paraId="145172E1" w14:textId="77777777" w:rsidR="00364B38" w:rsidRPr="0097784F" w:rsidRDefault="00364B38" w:rsidP="00364B38">
      <w:pPr>
        <w:tabs>
          <w:tab w:val="left" w:pos="360"/>
        </w:tabs>
        <w:spacing w:line="240" w:lineRule="auto"/>
        <w:rPr>
          <w:szCs w:val="24"/>
        </w:rPr>
      </w:pPr>
      <w:r w:rsidRPr="0097784F">
        <w:rPr>
          <w:szCs w:val="24"/>
        </w:rPr>
        <w:lastRenderedPageBreak/>
        <w:tab/>
        <w:t xml:space="preserve">Eventually, the House approved the controversial Title II, with only a few changes to the Eccles proposal. The Federal Reserve Board would expand to eight, with one Governor; the two except officio members would remain. And the FOMC would consist of all eight Board members, and five Reserve Bank representatives. This level of participation was not enough to win the Republican minority, but Democrats commanded such a majority that it didn’t matter. </w:t>
      </w:r>
      <w:r w:rsidRPr="0097784F">
        <w:rPr>
          <w:rStyle w:val="FootnoteReference"/>
          <w:rFonts w:ascii="Garamond" w:hAnsi="Garamond"/>
          <w:szCs w:val="24"/>
        </w:rPr>
        <w:footnoteReference w:id="142"/>
      </w:r>
    </w:p>
    <w:p w14:paraId="13B0CC86" w14:textId="77777777" w:rsidR="00364B38" w:rsidRPr="0097784F" w:rsidRDefault="00364B38" w:rsidP="00364B38">
      <w:pPr>
        <w:tabs>
          <w:tab w:val="left" w:pos="360"/>
        </w:tabs>
        <w:spacing w:line="240" w:lineRule="auto"/>
        <w:rPr>
          <w:szCs w:val="24"/>
        </w:rPr>
      </w:pPr>
      <w:r w:rsidRPr="0097784F">
        <w:rPr>
          <w:szCs w:val="24"/>
        </w:rPr>
        <w:tab/>
        <w:t>The Senate was a different story. Here, Eccles overplayed his hand. He had wanted not to eliminate the Reserve Banks completely—it was on this basis that he tried to thread the needle. He wanted to gut their influence over policy and turn them into advisers, not policy-makers. But, as he later admitted, he played the political game poorly. Eccles’s proposals offended Glass’s sense of policy and his sense of pride, and the aging Senator did more than bring in hostile witnesses: he also retaliated by holding up Eccles’s confirmation hearings as the old Federal Reserve Board’s Governor (and in fact was the only Democrat to vote against Senate confirmation when the vote finally did go through).</w:t>
      </w:r>
      <w:r w:rsidRPr="0097784F">
        <w:rPr>
          <w:rStyle w:val="FootnoteReference"/>
          <w:rFonts w:ascii="Garamond" w:hAnsi="Garamond"/>
          <w:szCs w:val="24"/>
        </w:rPr>
        <w:footnoteReference w:id="143"/>
      </w:r>
      <w:r w:rsidRPr="0097784F">
        <w:rPr>
          <w:szCs w:val="24"/>
        </w:rPr>
        <w:t xml:space="preserve"> </w:t>
      </w:r>
    </w:p>
    <w:p w14:paraId="00A2FFA9" w14:textId="6F24F291" w:rsidR="00364B38" w:rsidRPr="0097784F" w:rsidRDefault="00364B38" w:rsidP="00364B38">
      <w:pPr>
        <w:widowControl w:val="0"/>
        <w:suppressLineNumbers/>
        <w:tabs>
          <w:tab w:val="left" w:pos="360"/>
        </w:tabs>
        <w:spacing w:line="240" w:lineRule="auto"/>
        <w:ind w:firstLine="360"/>
        <w:rPr>
          <w:szCs w:val="24"/>
        </w:rPr>
      </w:pPr>
      <w:r w:rsidRPr="0097784F">
        <w:rPr>
          <w:szCs w:val="24"/>
        </w:rPr>
        <w:t xml:space="preserve">As the debate around the Eccles bill continued, there may also have been a sense of longing for what might have been for </w:t>
      </w:r>
      <w:r w:rsidR="008E7C31">
        <w:rPr>
          <w:szCs w:val="24"/>
        </w:rPr>
        <w:t xml:space="preserve">Carter </w:t>
      </w:r>
      <w:r w:rsidRPr="0097784F">
        <w:rPr>
          <w:szCs w:val="24"/>
        </w:rPr>
        <w:t xml:space="preserve">Glass. The aging Senator was, </w:t>
      </w:r>
      <w:r w:rsidR="008E7C31">
        <w:rPr>
          <w:szCs w:val="24"/>
        </w:rPr>
        <w:t xml:space="preserve">at </w:t>
      </w:r>
      <w:r w:rsidRPr="0097784F">
        <w:rPr>
          <w:szCs w:val="24"/>
        </w:rPr>
        <w:t>his core, deeply conservative and hated almost everything about the New Deal, despite lending his name to one its signature achievements. In fact, “[h]is record of opposition to the New Deal, based on a study of thirty-one bills on which he voted, 1933-1939, was 81 percent opposed—easily the highest of all Democratic senators of the period.”</w:t>
      </w:r>
      <w:r w:rsidRPr="0097784F">
        <w:rPr>
          <w:szCs w:val="24"/>
          <w:vertAlign w:val="superscript"/>
        </w:rPr>
        <w:footnoteReference w:id="144"/>
      </w:r>
      <w:r w:rsidRPr="0097784F">
        <w:rPr>
          <w:szCs w:val="24"/>
        </w:rPr>
        <w:t xml:space="preserve"> </w:t>
      </w:r>
    </w:p>
    <w:p w14:paraId="083694BF" w14:textId="77777777" w:rsidR="00364B38" w:rsidRPr="0097784F" w:rsidRDefault="00364B38" w:rsidP="00364B38">
      <w:pPr>
        <w:widowControl w:val="0"/>
        <w:suppressLineNumbers/>
        <w:tabs>
          <w:tab w:val="left" w:pos="360"/>
        </w:tabs>
        <w:spacing w:line="240" w:lineRule="auto"/>
        <w:ind w:firstLine="360"/>
        <w:rPr>
          <w:szCs w:val="24"/>
        </w:rPr>
      </w:pPr>
      <w:r w:rsidRPr="0097784F">
        <w:rPr>
          <w:szCs w:val="24"/>
        </w:rPr>
        <w:t xml:space="preserve">Glass’s opposition meant that he was able to salvage a continuing policy role for the Reserve Banks: they would keep their private status (through member banks’ ownership of the Reserve Banks), they would keep their private boards of directors, and the Federal Open Market Committee—created under Glass-Steagall just two years before—would include five seats for the Reserve </w:t>
      </w:r>
      <w:r w:rsidRPr="0097784F">
        <w:rPr>
          <w:szCs w:val="24"/>
        </w:rPr>
        <w:lastRenderedPageBreak/>
        <w:t>Banks, to be filled on a rotating basis.</w:t>
      </w:r>
      <w:r w:rsidRPr="0097784F">
        <w:rPr>
          <w:rStyle w:val="FootnoteReference"/>
          <w:rFonts w:ascii="Garamond" w:hAnsi="Garamond"/>
          <w:szCs w:val="24"/>
        </w:rPr>
        <w:footnoteReference w:id="145"/>
      </w:r>
      <w:r w:rsidRPr="0097784F">
        <w:rPr>
          <w:szCs w:val="24"/>
        </w:rPr>
        <w:t xml:space="preserve"> </w:t>
      </w:r>
    </w:p>
    <w:p w14:paraId="42F9F64C" w14:textId="5D884C25" w:rsidR="00364B38" w:rsidRPr="0097784F" w:rsidRDefault="00364B38" w:rsidP="00364B38">
      <w:pPr>
        <w:widowControl w:val="0"/>
        <w:suppressLineNumbers/>
        <w:tabs>
          <w:tab w:val="left" w:pos="360"/>
        </w:tabs>
        <w:spacing w:line="240" w:lineRule="auto"/>
        <w:rPr>
          <w:szCs w:val="24"/>
        </w:rPr>
      </w:pPr>
      <w:r w:rsidRPr="0097784F">
        <w:rPr>
          <w:szCs w:val="24"/>
        </w:rPr>
        <w:tab/>
        <w:t xml:space="preserve">Even so, while Glass won some concessions, Eccles got most of what he sought. The final version of Title II created a system that represented a dramatic departure from every other experiment in central bank design in U.S. and indeed world history. It abolished the Federal Reserve Board created in 1913 and replaced it with the Board of Governors of the Federal Reserve System. (The term “Federal Reserve Board” remains in wide if anachronistic use to refer to the Board of Governors.) </w:t>
      </w:r>
    </w:p>
    <w:p w14:paraId="0A6AA7ED" w14:textId="39E2B13B" w:rsidR="00364B38" w:rsidRDefault="00364B38" w:rsidP="00364B38">
      <w:pPr>
        <w:widowControl w:val="0"/>
        <w:suppressLineNumbers/>
        <w:tabs>
          <w:tab w:val="left" w:pos="360"/>
        </w:tabs>
        <w:spacing w:line="240" w:lineRule="auto"/>
        <w:rPr>
          <w:szCs w:val="24"/>
        </w:rPr>
      </w:pPr>
      <w:r w:rsidRPr="0097784F">
        <w:rPr>
          <w:szCs w:val="24"/>
        </w:rPr>
        <w:tab/>
        <w:t>As historian David Kennedy has written, after the 1935 Act, “the Fed now had more of the trappings of a true central bank than any American institutions had wielded since the demise of the Bank of the United States in Andrew Jackson’s day,” precisely the result Eccles had both sought and denied seeking.</w:t>
      </w:r>
      <w:r w:rsidR="003369DE">
        <w:rPr>
          <w:rStyle w:val="FootnoteReference"/>
          <w:szCs w:val="24"/>
        </w:rPr>
        <w:footnoteReference w:id="146"/>
      </w:r>
      <w:r w:rsidRPr="0097784F">
        <w:rPr>
          <w:szCs w:val="24"/>
        </w:rPr>
        <w:t xml:space="preserve"> But the Federal Reserve System after 1935 was more than that: The new Federal Reserve System had the trappings not only of a “true central bank,” but was the beginning of what economic historian Charles Goodhart has called central banking’s “evolution” from private banks running a private banking policy with public benefits to a public central bank in the modern sense of the word.</w:t>
      </w:r>
      <w:r w:rsidR="00C41D53">
        <w:rPr>
          <w:rStyle w:val="FootnoteReference"/>
          <w:szCs w:val="24"/>
        </w:rPr>
        <w:footnoteReference w:id="147"/>
      </w:r>
      <w:r w:rsidRPr="0097784F">
        <w:rPr>
          <w:szCs w:val="24"/>
        </w:rPr>
        <w:t xml:space="preserve"> </w:t>
      </w:r>
    </w:p>
    <w:p w14:paraId="26259178" w14:textId="779DB395" w:rsidR="008E7C31" w:rsidRDefault="008E7C31" w:rsidP="00364B38">
      <w:pPr>
        <w:widowControl w:val="0"/>
        <w:suppressLineNumbers/>
        <w:tabs>
          <w:tab w:val="left" w:pos="360"/>
        </w:tabs>
        <w:spacing w:line="240" w:lineRule="auto"/>
        <w:rPr>
          <w:szCs w:val="24"/>
        </w:rPr>
      </w:pPr>
      <w:r>
        <w:rPr>
          <w:szCs w:val="24"/>
        </w:rPr>
        <w:tab/>
        <w:t xml:space="preserve">It is thus not an exaggeration to say that the 1935 Act created the first modern central bank and came about essentially as a kind of employment contract for Marriner Eccles. </w:t>
      </w:r>
    </w:p>
    <w:p w14:paraId="304621E8" w14:textId="181B6D27" w:rsidR="008E7C31" w:rsidRDefault="008E7C31" w:rsidP="008E7C31">
      <w:pPr>
        <w:pStyle w:val="Heading3"/>
      </w:pPr>
      <w:r>
        <w:t>Punctuated Coalitions and the 1935 Act</w:t>
      </w:r>
    </w:p>
    <w:p w14:paraId="63CDA8F6" w14:textId="4E012F0D" w:rsidR="002E7FA7" w:rsidRDefault="008E7C31" w:rsidP="002E7FA7">
      <w:pPr>
        <w:ind w:firstLine="360"/>
      </w:pPr>
      <w:r>
        <w:t xml:space="preserve">The Banking Act of 1935 remains something of a forgotten juggernaut of financial legislation. When Fed officials wax eloquent about their </w:t>
      </w:r>
      <w:r w:rsidR="0000414D">
        <w:t>history, they almost always refer to the 1935 legislation in passing.</w:t>
      </w:r>
      <w:r w:rsidR="0000414D">
        <w:rPr>
          <w:rStyle w:val="FootnoteReference"/>
        </w:rPr>
        <w:footnoteReference w:id="148"/>
      </w:r>
      <w:r w:rsidR="002E7FA7">
        <w:t xml:space="preserve"> But it has retained enormous influence on the shape of the subsequent eighty years. Its passage is also indicative of the most important features of punctuated coalitions: randomness, temporariness of the legislative coalition, the </w:t>
      </w:r>
      <w:r w:rsidR="002E7FA7">
        <w:lastRenderedPageBreak/>
        <w:t xml:space="preserve">nature of idea generation in the legislative process, and the role of anti-coalitions. </w:t>
      </w:r>
    </w:p>
    <w:p w14:paraId="1E76ECE7" w14:textId="027FF37D" w:rsidR="002E7FA7" w:rsidRDefault="002E7FA7" w:rsidP="002E7FA7">
      <w:pPr>
        <w:ind w:firstLine="360"/>
      </w:pPr>
      <w:r>
        <w:t>The randomness of a Utah millionaire joining the Roosevelt Administration, with no prior connection to the candidate, is striking itself. But at every turn, different changes could have pushed this result away. Had the legislative agenda not been dominated by so much other activity, the Banking Act would have received much more withering scrutiny, making it harder for Eccles to succeed in his vision. Carter Glass was, himself, a much stauncher supporter of Roosevelt during the 1932 campaign and was seriously considered as Roosevelt’s first Treasury Secretary. Had that occurred, instead of the original and enfeebled Republican William Woodin, Glass would likely have killed the proposal at an early stage. Eccles was, after all, working for the Secretary of the Treasury.</w:t>
      </w:r>
      <w:r w:rsidR="00737C28">
        <w:t xml:space="preserve"> Eugene Black’s resignation to lead the Atlanta Fed is another example. </w:t>
      </w:r>
      <w:r>
        <w:t xml:space="preserve"> </w:t>
      </w:r>
    </w:p>
    <w:p w14:paraId="024A00E6" w14:textId="77777777" w:rsidR="002E7FA7" w:rsidRDefault="002E7FA7" w:rsidP="002E7FA7">
      <w:pPr>
        <w:ind w:firstLine="360"/>
      </w:pPr>
      <w:r>
        <w:t xml:space="preserve">The emphasis on randomness in this theory of legislation may appear nihilist to some, facile and reductionistic to others. It is neither. The point is that our efforts to impose a narrative frame on the inevitability of certain ideas—deposit insurance for example, or the centralization of central bank leadership—is erroneous. While ideas have a stickiness to them once they are converted to law, there is almost no narrative inevitability that accurately describes the legislative process. </w:t>
      </w:r>
    </w:p>
    <w:p w14:paraId="4325E7BC" w14:textId="4CC53A92" w:rsidR="002E7FA7" w:rsidRDefault="002E7FA7" w:rsidP="002E7FA7">
      <w:pPr>
        <w:ind w:firstLine="360"/>
      </w:pPr>
      <w:r>
        <w:t xml:space="preserve">Second, the 1935 Act shows the power of policy entrepreneurs. Marriner Eccles, of course, looms large over this process, more so than virtually any other figure in the legislation surveyed in this Article. (Henry Steagall’s role in pushing through deposit insurance probably comes in as a distant second.) Individuals matter enormously to the passage of legislation, by identifying the right moment to act and making the right arguments that will appeal to the right audiences. </w:t>
      </w:r>
    </w:p>
    <w:p w14:paraId="4564D771" w14:textId="242FCAFA" w:rsidR="002E7FA7" w:rsidRDefault="002E7FA7" w:rsidP="002E7FA7">
      <w:pPr>
        <w:ind w:firstLine="360"/>
      </w:pPr>
      <w:r>
        <w:t xml:space="preserve">Third, the evolutionary process of this policy entrepreneurship is itself striking. Unlike deposit insurance, the idea of centralized public leadership at the Fed was not off-the-shelf. Eccles’s </w:t>
      </w:r>
      <w:r w:rsidR="00737C28">
        <w:t xml:space="preserve">policy ideas that he cared most about prior to his appointment were about fiscal policy, not monetary policy. These ideas arose in real time, in reaction to the exogenous event not of financial crisis—that had already passed—but a job offer. </w:t>
      </w:r>
    </w:p>
    <w:p w14:paraId="03502B0F" w14:textId="77777777" w:rsidR="009E53DD" w:rsidRDefault="00737C28" w:rsidP="00737C28">
      <w:pPr>
        <w:ind w:firstLine="360"/>
      </w:pPr>
      <w:r>
        <w:t xml:space="preserve">And finally, Eccles—the radical banker—was able to position his idea as a moderate compromise even though it did in fact </w:t>
      </w:r>
      <w:r>
        <w:lastRenderedPageBreak/>
        <w:t>radically reshape the Federal Reserve System. Father Coughlin and those millions who joined him in their disgust for bankers allowed Eccles to reposition a piece of momentous legislation in a spirit that it could not have obtained. Rather than pushing the legislation to the left, the anti-coalition allowed the legislation to redefine the outer edge of policy suggestions.</w:t>
      </w:r>
    </w:p>
    <w:p w14:paraId="296A84DC" w14:textId="5ECA2411" w:rsidR="00F020DC" w:rsidRDefault="009E53DD" w:rsidP="00737C28">
      <w:pPr>
        <w:ind w:firstLine="360"/>
      </w:pPr>
      <w:r>
        <w:t xml:space="preserve">The coalition that pushed the 1935 Act home would quickly fall away. By 1937, Congress no longer had enthusiasm for Roosevelt’s legislative experiments. The conservative Democrats were in rebellion, and public attention shifted to international affairs. Eccles himself would play legislative defense for the rest of his public life. But </w:t>
      </w:r>
      <w:r w:rsidR="00C72CDF">
        <w:t xml:space="preserve">by then </w:t>
      </w:r>
      <w:r>
        <w:t>the task of radical reimagination of central banking</w:t>
      </w:r>
      <w:r w:rsidR="00C72CDF">
        <w:t xml:space="preserve"> was already complete</w:t>
      </w:r>
      <w:r>
        <w:t xml:space="preserve">. </w:t>
      </w:r>
      <w:r w:rsidR="00737C28">
        <w:t xml:space="preserve"> </w:t>
      </w:r>
    </w:p>
    <w:p w14:paraId="67670F80" w14:textId="65F682E7" w:rsidR="00F020DC" w:rsidRPr="008E7C31" w:rsidRDefault="00F020DC" w:rsidP="00F020DC">
      <w:pPr>
        <w:pStyle w:val="Heading1"/>
      </w:pPr>
      <w:r>
        <w:t xml:space="preserve">Punctuated Coalitions </w:t>
      </w:r>
      <w:r w:rsidR="001740A3">
        <w:t>in Failure and Success</w:t>
      </w:r>
      <w:r>
        <w:t xml:space="preserve">: </w:t>
      </w:r>
      <w:r w:rsidR="00737C28">
        <w:t>Housing Finance</w:t>
      </w:r>
      <w:r w:rsidR="00CF0015">
        <w:t xml:space="preserve"> and Holding Companies</w:t>
      </w:r>
    </w:p>
    <w:p w14:paraId="1A4794F5" w14:textId="69877B8D" w:rsidR="001740A3" w:rsidRDefault="001740A3" w:rsidP="00DF4EF9">
      <w:pPr>
        <w:tabs>
          <w:tab w:val="left" w:pos="360"/>
        </w:tabs>
        <w:spacing w:line="240" w:lineRule="auto"/>
        <w:ind w:firstLine="720"/>
        <w:rPr>
          <w:szCs w:val="24"/>
        </w:rPr>
      </w:pPr>
      <w:r>
        <w:rPr>
          <w:szCs w:val="24"/>
        </w:rPr>
        <w:t xml:space="preserve">The legislation reviewed so far—the Federal Reserve Act, the deposit insurance provisions of the Banking Act of 1933, and the reformation of the Federal Reserve System in the Banking Act of 1935—follow a specific kind of punctuated coalitional approach to legislation. Exogenous events spur temporary coalitions around a legislative idea that moves through intellectual, political, and eventually legislative streams to become law. </w:t>
      </w:r>
    </w:p>
    <w:p w14:paraId="2FD54331" w14:textId="77777777" w:rsidR="00CF0015" w:rsidRDefault="001740A3" w:rsidP="00DF4EF9">
      <w:pPr>
        <w:tabs>
          <w:tab w:val="left" w:pos="360"/>
        </w:tabs>
        <w:spacing w:line="240" w:lineRule="auto"/>
        <w:ind w:firstLine="720"/>
        <w:rPr>
          <w:szCs w:val="24"/>
        </w:rPr>
      </w:pPr>
      <w:r>
        <w:rPr>
          <w:szCs w:val="24"/>
        </w:rPr>
        <w:t xml:space="preserve">But punctuated coalitions in the creation of legislation can also explain legislative efforts that simmer over a much longer period. In this Part, we review two different instances of this phenomenon: holding company legislation, actively debated for decades prior to the passage of the landmark Bank Holding Company Act of 1956 and the slow but extraordinary rise of housing finance legislation over an eighty year period. In the first instance, we see how the successful legislative coalition in 1956 was in fact mostly built out of frustration. The more durable coalition of policy entrepreneurs saw in the BHCA at most a partial victory. Its success was won more out of exhaustion than innovation. And in the rise and rise of the government-sponsored enterprises, we see punctuated coalitions at key moments that created an institutional apparatus that became, until now, nearly impenetrable to reform. </w:t>
      </w:r>
    </w:p>
    <w:p w14:paraId="0D9BB84D" w14:textId="059438F2" w:rsidR="001740A3" w:rsidRDefault="001740A3" w:rsidP="00DF4EF9">
      <w:pPr>
        <w:tabs>
          <w:tab w:val="left" w:pos="360"/>
        </w:tabs>
        <w:spacing w:line="240" w:lineRule="auto"/>
        <w:ind w:firstLine="720"/>
        <w:rPr>
          <w:szCs w:val="24"/>
        </w:rPr>
      </w:pPr>
      <w:r>
        <w:rPr>
          <w:szCs w:val="24"/>
        </w:rPr>
        <w:lastRenderedPageBreak/>
        <w:t xml:space="preserve">In both cases, the exogenous events are not crises—there was no crisis in sight of the 1956 legislation, and the major reforms to the GSEs were borne out of fiscal despair rather than crisis response. </w:t>
      </w:r>
      <w:r w:rsidR="00CF0015">
        <w:rPr>
          <w:szCs w:val="24"/>
        </w:rPr>
        <w:t xml:space="preserve">Understanding, then, the interests at the moment of legislative change—including when those interests succeeded and when they failed—gives a good sense of how these major changes to the financial landscape became so enduring. </w:t>
      </w:r>
    </w:p>
    <w:p w14:paraId="22595E14" w14:textId="3D08CB62" w:rsidR="00CF0015" w:rsidRDefault="00CF0015" w:rsidP="00DF4EF9">
      <w:pPr>
        <w:tabs>
          <w:tab w:val="left" w:pos="360"/>
        </w:tabs>
        <w:spacing w:line="240" w:lineRule="auto"/>
        <w:ind w:firstLine="720"/>
        <w:rPr>
          <w:szCs w:val="24"/>
        </w:rPr>
      </w:pPr>
    </w:p>
    <w:p w14:paraId="156F44EC" w14:textId="2B065E61" w:rsidR="00CF0015" w:rsidRDefault="00CF0015" w:rsidP="00CF0015">
      <w:pPr>
        <w:pStyle w:val="Heading2"/>
      </w:pPr>
      <w:r>
        <w:t xml:space="preserve">Housing </w:t>
      </w:r>
      <w:r w:rsidR="002818FC">
        <w:t>Finance</w:t>
      </w:r>
    </w:p>
    <w:p w14:paraId="7463EB01" w14:textId="03D0DB45" w:rsidR="00CF0015" w:rsidRDefault="00CF0015" w:rsidP="00CF0015">
      <w:pPr>
        <w:pStyle w:val="MainBody"/>
      </w:pPr>
      <w:r>
        <w:t xml:space="preserve">In most accounts of the New Deal, housing legislation </w:t>
      </w:r>
      <w:r w:rsidR="00B11B84">
        <w:t>is not at the center of the accounts of financial legislation</w:t>
      </w:r>
      <w:r>
        <w:t>.</w:t>
      </w:r>
      <w:r w:rsidR="00F5204F">
        <w:rPr>
          <w:rStyle w:val="FootnoteReference"/>
        </w:rPr>
        <w:footnoteReference w:id="149"/>
      </w:r>
      <w:r w:rsidR="00D449DF">
        <w:t xml:space="preserve"> The main event for financial legislation lay elsewhere. But enthusiasms for home ownership as an anchor in American policy was older than the Great Depression. Herbert Hoover, as Secretary of Commerce under Harding and Coolidge, made home ownership key to American prosperity, publishing a pamphlet entitled “Own Your Own Home.”</w:t>
      </w:r>
      <w:r w:rsidR="00D449DF">
        <w:rPr>
          <w:rStyle w:val="FootnoteReference"/>
        </w:rPr>
        <w:footnoteReference w:id="150"/>
      </w:r>
    </w:p>
    <w:p w14:paraId="7EC78D09" w14:textId="715C348A" w:rsidR="00D449DF" w:rsidRDefault="00D449DF" w:rsidP="00CF0015">
      <w:pPr>
        <w:pStyle w:val="MainBody"/>
      </w:pPr>
      <w:r>
        <w:t xml:space="preserve">Near the end of his own presidency, Hoover </w:t>
      </w:r>
      <w:r w:rsidR="00BC2ADA">
        <w:t xml:space="preserve">sought to rem the ills of the Great Depression by institutional design that, in his view, would retain private initiative and </w:t>
      </w:r>
      <w:r>
        <w:t>These enthusiasms would surface again during the Roosevelt Administration, but the first experiment in housing finance was through the Federal Home Loan Bank System</w:t>
      </w:r>
      <w:r w:rsidR="00BC2ADA">
        <w:t>, part of a widely covered (and applauded) legislative package that Hoover submitted to Congress in the summer of 1932. The bill, as passed, would buy home loans not to exceed 40% of the value of the underlying home, and not more than $20,000 (roughly $350,000 adjusted for inflation).</w:t>
      </w:r>
      <w:r w:rsidR="00BC2ADA">
        <w:rPr>
          <w:rStyle w:val="FootnoteReference"/>
        </w:rPr>
        <w:footnoteReference w:id="151"/>
      </w:r>
      <w:r w:rsidR="00BC2ADA">
        <w:t xml:space="preserve"> The Federal Home Loan Bank System is still active, if </w:t>
      </w:r>
      <w:r w:rsidR="00BC2ADA">
        <w:lastRenderedPageBreak/>
        <w:t>often forgotten, probably the lasting legislative achievement of the Hoover Administration.</w:t>
      </w:r>
      <w:r w:rsidR="00BC2ADA">
        <w:rPr>
          <w:rStyle w:val="FootnoteReference"/>
        </w:rPr>
        <w:footnoteReference w:id="152"/>
      </w:r>
    </w:p>
    <w:p w14:paraId="13D5C958" w14:textId="3E3D1734" w:rsidR="00142745" w:rsidRDefault="00386AA8" w:rsidP="00386AA8">
      <w:pPr>
        <w:pStyle w:val="MainBody"/>
      </w:pPr>
      <w:r>
        <w:t>The Roosevelt Administration paid close attention to housing policy, passing the Home Owners’ Loan Corporation Act as part of the first hundred days.</w:t>
      </w:r>
      <w:r w:rsidR="00142745">
        <w:rPr>
          <w:rStyle w:val="FootnoteReference"/>
        </w:rPr>
        <w:footnoteReference w:id="153"/>
      </w:r>
      <w:r>
        <w:t xml:space="preserve"> </w:t>
      </w:r>
      <w:r w:rsidR="00142745">
        <w:t>The purpose of the HOLC and the FHLBs were similar: to provide a secondary market for home loans, subject to restrictions. That is, these institutions—the HOLC a government agency, the FHLBs government-sponsored enterprises like the Federal Reserve Banks—were meant to assist in financial intermediation by putting downward pressure on the availability of credit.</w:t>
      </w:r>
      <w:r w:rsidR="00603473">
        <w:t xml:space="preserve"> HOLC loans could only be secured by homes for no more than four families and subject to the same $20,000 appraisal limit (although the loan itself could be no more than 80% of the value of the home and no more than $14,000). The HOLC loans also fixed interest rates at no more than 5%, must be fully amortized, and were for fifteen years.</w:t>
      </w:r>
      <w:r w:rsidR="00603473">
        <w:rPr>
          <w:rStyle w:val="FootnoteReference"/>
        </w:rPr>
        <w:footnoteReference w:id="154"/>
      </w:r>
    </w:p>
    <w:p w14:paraId="204E0F0A" w14:textId="68A2C82D" w:rsidR="00142745" w:rsidRDefault="00603473" w:rsidP="00603473">
      <w:pPr>
        <w:pStyle w:val="MainBody"/>
      </w:pPr>
      <w:r>
        <w:t xml:space="preserve">HOLC loans were almost an entirely new kind of mortgage animal. Until that time, it was common for mortgage loans to be less than 70% of the value of a home. </w:t>
      </w:r>
      <w:r w:rsidR="00142745">
        <w:t>Interest-only loans were common, meaning a balloon payment at the end of the mortgage period was the norm. At the height of the Great Depression, millions of unemployed home owners could not meet these demands.</w:t>
      </w:r>
      <w:r>
        <w:rPr>
          <w:rStyle w:val="FootnoteReference"/>
        </w:rPr>
        <w:footnoteReference w:id="155"/>
      </w:r>
    </w:p>
    <w:p w14:paraId="79588033" w14:textId="5BD87778" w:rsidR="00386AA8" w:rsidRDefault="00142745" w:rsidP="00386AA8">
      <w:pPr>
        <w:pStyle w:val="MainBody"/>
      </w:pPr>
      <w:r>
        <w:t>These new institutions were designed to intervene in these markets. The FHLBs remain a central if unheralded part of the financial system, but the HOLC was liquidated—at profit—in 1951.</w:t>
      </w:r>
      <w:r>
        <w:rPr>
          <w:rStyle w:val="FootnoteReference"/>
        </w:rPr>
        <w:footnoteReference w:id="156"/>
      </w:r>
      <w:r>
        <w:t xml:space="preserve"> </w:t>
      </w:r>
      <w:r w:rsidR="00047653">
        <w:t xml:space="preserve">At its peak, it supported 1 million loans. </w:t>
      </w:r>
    </w:p>
    <w:p w14:paraId="79AD83F7" w14:textId="1AD97A82" w:rsidR="007C180F" w:rsidRDefault="007C180F" w:rsidP="002F2064">
      <w:pPr>
        <w:pStyle w:val="MainBody"/>
      </w:pPr>
      <w:r>
        <w:lastRenderedPageBreak/>
        <w:t>In 1934, Congress built on the HOLC by creating the Federal Housing Administration, designed to insure lenders against mortgage default. The 1934 Housing Act also created the Federal National Mortgage Association (“Fannie Mae”), on the expectation that it would serve as a model of precisely the kind of enterprise that would enter this new mortgage insurance business. Jesse Jones, then chairman of the Reconstruction Finance Corporation—the Hoover-built government agency still on the front lines of fighting the Depression, and active in mortgage markets—described the ambition, the Administration “</w:t>
      </w:r>
      <w:r w:rsidRPr="007C180F">
        <w:t>wanted private investors to own the business, to do the work and make a fair profit. But we couldn’t induce anyone to try it</w:t>
      </w:r>
      <w:r>
        <w:t>.”</w:t>
      </w:r>
      <w:r>
        <w:rPr>
          <w:rStyle w:val="FootnoteReference"/>
        </w:rPr>
        <w:footnoteReference w:id="157"/>
      </w:r>
      <w:r>
        <w:t xml:space="preserve"> </w:t>
      </w:r>
    </w:p>
    <w:p w14:paraId="7881556D" w14:textId="442E7B04" w:rsidR="00CF0015" w:rsidRDefault="008729D8" w:rsidP="008729D8">
      <w:pPr>
        <w:pStyle w:val="MainBody"/>
      </w:pPr>
      <w:r>
        <w:t xml:space="preserve">And so Fannie Mae stood alone, but paled in comparison to HOLC and the FHLBs. </w:t>
      </w:r>
      <w:r w:rsidR="00CF0015" w:rsidRPr="00CF0015">
        <w:t>At its pre-World War II peak, Fannie had only $211 million in loan assets,</w:t>
      </w:r>
      <w:r w:rsidR="00CF0015" w:rsidRPr="00CF0015">
        <w:rPr>
          <w:vertAlign w:val="superscript"/>
        </w:rPr>
        <w:footnoteReference w:id="158"/>
      </w:r>
      <w:r w:rsidR="00CF0015" w:rsidRPr="00CF0015">
        <w:t xml:space="preserve"> less than 1% of the more than $23 billion in outstanding debt on individual mortgages at the time.</w:t>
      </w:r>
      <w:r w:rsidR="00CF0015" w:rsidRPr="00CF0015">
        <w:rPr>
          <w:vertAlign w:val="superscript"/>
        </w:rPr>
        <w:footnoteReference w:id="159"/>
      </w:r>
      <w:r w:rsidR="00CF0015" w:rsidRPr="00CF0015">
        <w:t xml:space="preserve"> This paltry figure declined to just $5.4 million by the end of the war, putting Fannie Mae not just on the brink of irrelevance but non-existence.</w:t>
      </w:r>
      <w:r w:rsidR="00CF0015" w:rsidRPr="00CF0015">
        <w:rPr>
          <w:vertAlign w:val="superscript"/>
        </w:rPr>
        <w:footnoteReference w:id="160"/>
      </w:r>
      <w:r w:rsidR="00CF0015" w:rsidRPr="00CF0015">
        <w:t xml:space="preserve"> </w:t>
      </w:r>
      <w:r w:rsidR="00603473">
        <w:t xml:space="preserve">HOLC, meanwhile, </w:t>
      </w:r>
      <w:r w:rsidR="002F2064">
        <w:t xml:space="preserve">made refinancing loans totaling $3.1 billion touching about 40% of the entire qualifying mortgage market. </w:t>
      </w:r>
    </w:p>
    <w:p w14:paraId="236AF136" w14:textId="5D8883CB" w:rsidR="002818FC" w:rsidRDefault="002818FC" w:rsidP="002818FC">
      <w:pPr>
        <w:pStyle w:val="MainBody"/>
      </w:pPr>
      <w:r>
        <w:t xml:space="preserve">By 1951, the HOLC was liquidated (at a profit). But Fannie Mae survived and thrived over decades. As of 2016, Fannie Mae and its sibling-successor, the Federal Home Loan Mortgage Corporation (Freddie Mac), </w:t>
      </w:r>
      <w:r w:rsidRPr="002818FC">
        <w:t>had combined assets of $5.3 trillion dollars,</w:t>
      </w:r>
      <w:r w:rsidRPr="002818FC">
        <w:rPr>
          <w:vertAlign w:val="superscript"/>
        </w:rPr>
        <w:footnoteReference w:id="161"/>
      </w:r>
      <w:r w:rsidRPr="002818FC">
        <w:t xml:space="preserve"> equal to over a quarter of the size of the entire gross domestic product for the United States in that year.</w:t>
      </w:r>
      <w:r w:rsidRPr="002818FC">
        <w:rPr>
          <w:vertAlign w:val="superscript"/>
        </w:rPr>
        <w:footnoteReference w:id="162"/>
      </w:r>
    </w:p>
    <w:p w14:paraId="5934F370" w14:textId="5213FA86" w:rsidR="002818FC" w:rsidRDefault="002818FC" w:rsidP="002818FC">
      <w:pPr>
        <w:pStyle w:val="MainBody"/>
      </w:pPr>
      <w:r>
        <w:lastRenderedPageBreak/>
        <w:t xml:space="preserve">What explains this extraordinary rise? </w:t>
      </w:r>
    </w:p>
    <w:p w14:paraId="24359AC3" w14:textId="77777777" w:rsidR="002818FC" w:rsidRPr="002818FC" w:rsidRDefault="002818FC" w:rsidP="002818FC">
      <w:pPr>
        <w:pStyle w:val="MainBody"/>
      </w:pPr>
      <w:r>
        <w:t xml:space="preserve">Legislative design cannot account for this extraordinary rise. Fannie Mae was not a major player in housing finance at its birth. </w:t>
      </w:r>
      <w:r w:rsidRPr="002818FC">
        <w:t>The crux of the matter is that while Fannie Mae was indeed founded pursuant to legislation passed in the wake of financial crises, Fannie would have remained at most a minor footnote in American economic history were it not for pivotal legislative developments that occurred far afterwards, at times in which no financial crises were in sight.  As originally authorized under the Housing Acts of 1934 and 1938, Fannie Mae was largely restricted to purchasing Federal Housing Administration (FHA) insured loans originated by lenders.</w:t>
      </w:r>
      <w:r w:rsidRPr="002818FC">
        <w:rPr>
          <w:vertAlign w:val="superscript"/>
        </w:rPr>
        <w:footnoteReference w:id="163"/>
      </w:r>
      <w:r w:rsidRPr="002818FC">
        <w:t xml:space="preserve">  At its pre-World War II peak, Fannie had only $211 million in loan assets,</w:t>
      </w:r>
      <w:r w:rsidRPr="002818FC">
        <w:rPr>
          <w:vertAlign w:val="superscript"/>
        </w:rPr>
        <w:footnoteReference w:id="164"/>
      </w:r>
      <w:r w:rsidRPr="002818FC">
        <w:t xml:space="preserve"> less than 1% of the more than $23 billion in outstanding debt on individual mortgages at the time.</w:t>
      </w:r>
      <w:r w:rsidRPr="002818FC">
        <w:rPr>
          <w:vertAlign w:val="superscript"/>
        </w:rPr>
        <w:footnoteReference w:id="165"/>
      </w:r>
      <w:r w:rsidRPr="002818FC">
        <w:t xml:space="preserve"> This paltry figure declined to just $5.4 million by the end of the war, putting Fannie Mae not just on the brink of irrelevance but non-existence.</w:t>
      </w:r>
      <w:r w:rsidRPr="002818FC">
        <w:rPr>
          <w:vertAlign w:val="superscript"/>
        </w:rPr>
        <w:footnoteReference w:id="166"/>
      </w:r>
    </w:p>
    <w:p w14:paraId="377EE117" w14:textId="77777777" w:rsidR="002818FC" w:rsidRPr="002818FC" w:rsidRDefault="002818FC" w:rsidP="002818FC">
      <w:pPr>
        <w:pStyle w:val="MainBody"/>
      </w:pPr>
      <w:r w:rsidRPr="002818FC">
        <w:t>Yet, subsequent legislative initiatives breathed new life into the organization by greatly expanding the scope of loans it could purchase.  The first of these expansions of Fannie’s authority came in 1948, when Congress authorized it to purchase Veterans Administration (VA) loans.</w:t>
      </w:r>
      <w:r w:rsidRPr="002818FC">
        <w:rPr>
          <w:vertAlign w:val="superscript"/>
        </w:rPr>
        <w:footnoteReference w:id="167"/>
      </w:r>
      <w:r w:rsidRPr="002818FC">
        <w:t xml:space="preserve"> The volume of loans guaranteed by the VA at this point already exceeded that guaranteed by </w:t>
      </w:r>
      <w:r w:rsidRPr="002818FC">
        <w:lastRenderedPageBreak/>
        <w:t>FHA.</w:t>
      </w:r>
      <w:r w:rsidRPr="002818FC">
        <w:rPr>
          <w:vertAlign w:val="superscript"/>
        </w:rPr>
        <w:footnoteReference w:id="168"/>
      </w:r>
      <w:r w:rsidRPr="002818FC">
        <w:t xml:space="preserve">  In 1950 alone, Fannie acquired more than 130,000 loans, close to double the total volume it had processed in its entire history up to that point.</w:t>
      </w:r>
      <w:r w:rsidRPr="002818FC">
        <w:rPr>
          <w:vertAlign w:val="superscript"/>
        </w:rPr>
        <w:footnoteReference w:id="169"/>
      </w:r>
      <w:r w:rsidRPr="002818FC">
        <w:t xml:space="preserve">  The next big expansion in Fannie’s scope came in legislation passed in 1970 which enabled it to purchase conventional loans, in addition to those backed by the FHA and VA.</w:t>
      </w:r>
      <w:r w:rsidRPr="002818FC">
        <w:rPr>
          <w:vertAlign w:val="superscript"/>
        </w:rPr>
        <w:footnoteReference w:id="170"/>
      </w:r>
      <w:r w:rsidRPr="002818FC">
        <w:t xml:space="preserve">  As with the legislation passed in 1948, this represented a huge expansion of Fannie’s scope, as the FHA and VA loans it had previously been confined to comprised only about one third of the US mortgage market at the time.</w:t>
      </w:r>
      <w:r w:rsidRPr="002818FC">
        <w:rPr>
          <w:vertAlign w:val="superscript"/>
        </w:rPr>
        <w:footnoteReference w:id="171"/>
      </w:r>
    </w:p>
    <w:p w14:paraId="198DF651" w14:textId="77777777" w:rsidR="002818FC" w:rsidRPr="002818FC" w:rsidRDefault="002818FC" w:rsidP="002818FC">
      <w:pPr>
        <w:pStyle w:val="MainBody"/>
      </w:pPr>
      <w:r w:rsidRPr="002818FC">
        <w:t xml:space="preserve">The 1948 doubling of Fannie’s scope of eligible loans, and the subsequent 1970 tripling of that scope, were by no means the </w:t>
      </w:r>
      <w:r w:rsidRPr="002818FC">
        <w:lastRenderedPageBreak/>
        <w:t>only ways in which Congress significantly reformed the shape of government sponsored enterprises and thus the financial system as a whole during the post-war period.  One significant change that Congress brought about was to move Fannie from the status of a fully governmental entity to that of a quasi-private, “government sponsored enterprise” that would be owned by private shareholders, deliver profits to those shareholders, but still be explicitly and implicitly backed by US taxpayers. Many if not most commentators on the topic cite this peculiar quasi-governmental status of Fannie as being a central reason both for it growing as significantly in size as it did (the incentives for growth and profit of a private enterprise combined with the funding advantage that comes with an implicit government guarantee) as well as for the magnitude of risks that it took.</w:t>
      </w:r>
      <w:r w:rsidRPr="002818FC">
        <w:rPr>
          <w:vertAlign w:val="superscript"/>
        </w:rPr>
        <w:footnoteReference w:id="172"/>
      </w:r>
      <w:r w:rsidRPr="002818FC">
        <w:t xml:space="preserve"> </w:t>
      </w:r>
    </w:p>
    <w:p w14:paraId="762F356C" w14:textId="77777777" w:rsidR="002818FC" w:rsidRPr="002818FC" w:rsidRDefault="002818FC" w:rsidP="002818FC">
      <w:pPr>
        <w:pStyle w:val="MainBody"/>
      </w:pPr>
      <w:r w:rsidRPr="002818FC">
        <w:t>Congress began the process of privatizing Fannie in 1954, with legislation that created partial private ownership of Fannie’s stock.</w:t>
      </w:r>
      <w:r w:rsidRPr="002818FC">
        <w:rPr>
          <w:vertAlign w:val="superscript"/>
        </w:rPr>
        <w:footnoteReference w:id="173"/>
      </w:r>
      <w:r w:rsidRPr="002818FC">
        <w:t xml:space="preserve">   Congress completed Fannie’s privatization in 1968, with legislation providing for its stock to be transferred entirely into private hands.</w:t>
      </w:r>
      <w:r w:rsidRPr="002818FC">
        <w:rPr>
          <w:vertAlign w:val="superscript"/>
        </w:rPr>
        <w:footnoteReference w:id="174"/>
      </w:r>
    </w:p>
    <w:p w14:paraId="0C2172B0" w14:textId="77777777" w:rsidR="002818FC" w:rsidRPr="002818FC" w:rsidRDefault="002818FC" w:rsidP="002818FC">
      <w:pPr>
        <w:pStyle w:val="MainBody"/>
      </w:pPr>
      <w:r w:rsidRPr="002818FC">
        <w:lastRenderedPageBreak/>
        <w:t>Another equally profound change wrought by Congress during this period was to expand the set of governmental and quasi-governmental agencies operating in the debt markets beyond just Fannie Mae.  The first of these steps came in 1968, with the creation of Ginnie Mae.</w:t>
      </w:r>
      <w:r w:rsidRPr="002818FC">
        <w:rPr>
          <w:vertAlign w:val="superscript"/>
        </w:rPr>
        <w:footnoteReference w:id="175"/>
      </w:r>
      <w:r w:rsidRPr="002818FC">
        <w:t xml:space="preserve">  Ginnie Mae seeks to bolster the liquidity of FHA, VA, and other government sponsored mortgage programs by guaranteeing mortgage backed securities (MBS) backed by these loans.  Indeed, Ginnie played what can be seen as a pivotal role in modern finance by sponsoring what may be the first modern MBS ever, in 1970.</w:t>
      </w:r>
      <w:r w:rsidRPr="002818FC">
        <w:rPr>
          <w:vertAlign w:val="superscript"/>
        </w:rPr>
        <w:footnoteReference w:id="176"/>
      </w:r>
      <w:r w:rsidRPr="002818FC">
        <w:t xml:space="preserve">  Unlike Fannie, Ginnie Mae has remained a fully governmental entity, though one with a large impact on modern finance and mortgage markets, given its over $1.7 trillion book of guaranteed MBS as of 2016.</w:t>
      </w:r>
      <w:r w:rsidRPr="002818FC">
        <w:rPr>
          <w:vertAlign w:val="superscript"/>
        </w:rPr>
        <w:footnoteReference w:id="177"/>
      </w:r>
    </w:p>
    <w:p w14:paraId="059FFB68" w14:textId="5AC16D11" w:rsidR="002818FC" w:rsidRPr="002818FC" w:rsidRDefault="002818FC" w:rsidP="00861F29">
      <w:pPr>
        <w:pStyle w:val="MainBody"/>
      </w:pPr>
      <w:r w:rsidRPr="002818FC">
        <w:t>The next step in Congress’ expansion of quasi-governmental agencies was in 1970, when Congress created the Federal Home Loan Mortgage Corporation (Freddie Mac for short), a counterpart to Fannie but with a focus on purchasing loans from Savings and Loan associations, rather than from banks.</w:t>
      </w:r>
      <w:r w:rsidRPr="002818FC">
        <w:rPr>
          <w:vertAlign w:val="superscript"/>
        </w:rPr>
        <w:footnoteReference w:id="178"/>
      </w:r>
      <w:r w:rsidRPr="002818FC">
        <w:t xml:space="preserve">  Although smaller than Fannie, Freddie is still gargantuan, with total assets as of 2016 of nearly $2 trillion.</w:t>
      </w:r>
      <w:r w:rsidRPr="002818FC">
        <w:rPr>
          <w:vertAlign w:val="superscript"/>
        </w:rPr>
        <w:footnoteReference w:id="179"/>
      </w:r>
      <w:r w:rsidRPr="002818FC">
        <w:t xml:space="preserve">  Congress acted again in 1972 with the creation of the Student Loan Marketing Association </w:t>
      </w:r>
      <w:r w:rsidRPr="002818FC">
        <w:lastRenderedPageBreak/>
        <w:t>(Sallie Mae for short, though now officially named the SLM Corporation), an institution focused on student rather than housing loans.</w:t>
      </w:r>
      <w:r w:rsidRPr="002818FC">
        <w:rPr>
          <w:vertAlign w:val="superscript"/>
        </w:rPr>
        <w:footnoteReference w:id="180"/>
      </w:r>
      <w:r w:rsidRPr="002818FC">
        <w:t xml:space="preserve">  With total assets of $13 billion as of 2016,</w:t>
      </w:r>
      <w:r w:rsidRPr="002818FC">
        <w:rPr>
          <w:vertAlign w:val="superscript"/>
        </w:rPr>
        <w:footnoteReference w:id="181"/>
      </w:r>
      <w:r w:rsidRPr="002818FC">
        <w:t xml:space="preserve"> Sallie is in some respects small compared to Fannie and Freddie, yet with a market share covering more than half of all private student loans in the US,</w:t>
      </w:r>
      <w:r w:rsidRPr="002818FC">
        <w:rPr>
          <w:vertAlign w:val="superscript"/>
        </w:rPr>
        <w:footnoteReference w:id="182"/>
      </w:r>
      <w:r w:rsidRPr="002818FC">
        <w:t xml:space="preserve"> its role in this critical component of the financial system is quite significant</w:t>
      </w:r>
      <w:r w:rsidR="00861F29">
        <w:t>.</w:t>
      </w:r>
    </w:p>
    <w:p w14:paraId="657C8A76" w14:textId="157D7810" w:rsidR="002818FC" w:rsidRPr="002818FC" w:rsidRDefault="002818FC" w:rsidP="002818FC">
      <w:pPr>
        <w:pStyle w:val="Heading3"/>
      </w:pPr>
      <w:r w:rsidRPr="002818FC">
        <w:t>Coalitions and Intellectual Development in the Rise of the GSEs.</w:t>
      </w:r>
    </w:p>
    <w:p w14:paraId="75D8CE38" w14:textId="77777777" w:rsidR="002818FC" w:rsidRPr="002818FC" w:rsidRDefault="002818FC" w:rsidP="002818FC">
      <w:pPr>
        <w:pStyle w:val="MainBody"/>
      </w:pPr>
      <w:r w:rsidRPr="002818FC">
        <w:t xml:space="preserve">If the rise of the GSEs into central pillars of the U.S. financial system, and the government’s role therein, cannot be plausibly explained by a process of legislators reacting to financial crises and subsequent outcry, what did drive the development of the GSEs?  </w:t>
      </w:r>
    </w:p>
    <w:p w14:paraId="196C3621" w14:textId="77777777" w:rsidR="002818FC" w:rsidRPr="002818FC" w:rsidRDefault="002818FC" w:rsidP="002818FC">
      <w:pPr>
        <w:pStyle w:val="MainBody"/>
      </w:pPr>
      <w:r w:rsidRPr="002818FC">
        <w:t>The history of US government support for credit to buy land and housing goes back at least to 1800, with the government directly lending money for land purchases, and Congress at times forgiving these debts in response to widespread defaults.</w:t>
      </w:r>
      <w:r w:rsidRPr="002818FC">
        <w:rPr>
          <w:vertAlign w:val="superscript"/>
        </w:rPr>
        <w:footnoteReference w:id="183"/>
      </w:r>
      <w:r w:rsidRPr="002818FC">
        <w:t xml:space="preserve">  Such practices were criticized at the time.  As one skeptic wrote, “capitalists, both real and fictitious, have engaged extensively in this business [of land speculation] … the banks have conspired with the government to promote it; the former by lending money to the speculator, the latter by its wretched system of selling land on credit.”</w:t>
      </w:r>
      <w:r w:rsidRPr="002818FC">
        <w:rPr>
          <w:vertAlign w:val="superscript"/>
        </w:rPr>
        <w:footnoteReference w:id="184"/>
      </w:r>
    </w:p>
    <w:p w14:paraId="67654629" w14:textId="77777777" w:rsidR="002818FC" w:rsidRPr="002818FC" w:rsidRDefault="002818FC" w:rsidP="002818FC">
      <w:pPr>
        <w:pStyle w:val="MainBody"/>
      </w:pPr>
      <w:r w:rsidRPr="002818FC">
        <w:t xml:space="preserve">Fannie Mae, the first of the GSEs, was originally created under the auspices of the National Housing Act of 1934.  The same Marinner Eccles who featured in the crafting of the Federal Reserve also served as a principal drafter of the National Housing </w:t>
      </w:r>
      <w:r w:rsidRPr="002818FC">
        <w:lastRenderedPageBreak/>
        <w:t>Act.</w:t>
      </w:r>
      <w:r w:rsidRPr="002818FC">
        <w:rPr>
          <w:vertAlign w:val="superscript"/>
        </w:rPr>
        <w:footnoteReference w:id="185"/>
      </w:r>
      <w:r w:rsidRPr="002818FC">
        <w:t xml:space="preserve">  Eccles explained in testimony that a key purpose of the legislation, in keeping with Roosevelt’s political goals, was to avoid the government becoming directly involved in the mortgage markets and to instead to use “the power of government to establish the conditions under which private initiative could feed itself and multiply its own benefits.”</w:t>
      </w:r>
      <w:r w:rsidRPr="002818FC">
        <w:rPr>
          <w:vertAlign w:val="superscript"/>
        </w:rPr>
        <w:footnoteReference w:id="186"/>
      </w:r>
      <w:r w:rsidRPr="002818FC">
        <w:t xml:space="preserve">  </w:t>
      </w:r>
    </w:p>
    <w:p w14:paraId="3341793F" w14:textId="77777777" w:rsidR="002818FC" w:rsidRPr="002818FC" w:rsidRDefault="002818FC" w:rsidP="002818FC">
      <w:pPr>
        <w:pStyle w:val="MainBody"/>
      </w:pPr>
      <w:r w:rsidRPr="002818FC">
        <w:t>Homebuilders, realtors were key constituencies in support of the Act, and in particular its creation of the FHA to guarantee mortgages.</w:t>
      </w:r>
      <w:r w:rsidRPr="002818FC">
        <w:rPr>
          <w:vertAlign w:val="superscript"/>
        </w:rPr>
        <w:footnoteReference w:id="187"/>
      </w:r>
      <w:r w:rsidRPr="002818FC">
        <w:t xml:space="preserve">  These parties anticipated that the Act would spur home building and sales.  Mortgage bankers also were critical backers, as the Act promised to put them on a more even playing field with savings and loan associations which already enjoyed similar lending support from the Federal Home Loan Banks.  Opposition came from insurers as well as the savings and loan associations who preferred to keep their unique advantages as compared to the mortgage banks.  </w:t>
      </w:r>
    </w:p>
    <w:p w14:paraId="71D5445E" w14:textId="77777777" w:rsidR="002818FC" w:rsidRPr="002818FC" w:rsidRDefault="002818FC" w:rsidP="002818FC">
      <w:pPr>
        <w:pStyle w:val="MainBody"/>
      </w:pPr>
      <w:r w:rsidRPr="002818FC">
        <w:t>In furtherance of the goals of Eccles and Roosevelt to avoid increasing the government’s direct involvement in mortgage finance, the original National Housing Act of 1934 provided only for the establishment of private, national mortgage associations to purchase FHA backed loans from lenders.  But, despite provisions authorizing such associations, no groups of private institutions came together to form any during the three years following the National Housing Act’s passage.</w:t>
      </w:r>
      <w:r w:rsidRPr="002818FC">
        <w:rPr>
          <w:vertAlign w:val="superscript"/>
        </w:rPr>
        <w:footnoteReference w:id="188"/>
      </w:r>
      <w:r w:rsidRPr="002818FC">
        <w:t xml:space="preserve">  </w:t>
      </w:r>
    </w:p>
    <w:p w14:paraId="1DACCC3A" w14:textId="77777777" w:rsidR="002818FC" w:rsidRPr="002818FC" w:rsidRDefault="002818FC" w:rsidP="002818FC">
      <w:pPr>
        <w:pStyle w:val="MainBody"/>
      </w:pPr>
      <w:r w:rsidRPr="002818FC">
        <w:t>It was administrative discretion by the Reconstruction Finance Corporation (RFC), established in 1932 under an Act bearing its name, that led to the government’s initial experiments with purchasing FHA backed mortgages.</w:t>
      </w:r>
      <w:r w:rsidRPr="002818FC">
        <w:rPr>
          <w:vertAlign w:val="superscript"/>
        </w:rPr>
        <w:footnoteReference w:id="189"/>
      </w:r>
      <w:r w:rsidRPr="002818FC">
        <w:t xml:space="preserve">  Following this initial foray, Eccles, Roosevelt, and FHA Administrator Stewart McDonald pushed for the formal authorization and expansion of the government’s ability to establish its own national mortgage </w:t>
      </w:r>
      <w:r w:rsidRPr="002818FC">
        <w:lastRenderedPageBreak/>
        <w:t>association to step in where the private sector had declined to act.  Builders and similar interests again supported this expansion, and in 1938, Congress passed (with large house and senate majorities) the National Housing Act Amendments which for the first time gave formal legitimacy to the governments’ already established practice of purchasing, packaging, and reselling securities based on FHA backed mortgages.</w:t>
      </w:r>
      <w:r w:rsidRPr="002818FC">
        <w:rPr>
          <w:vertAlign w:val="superscript"/>
        </w:rPr>
        <w:footnoteReference w:id="190"/>
      </w:r>
      <w:r w:rsidRPr="002818FC">
        <w:t xml:space="preserve">  It was under this new legislation that Fannie Mae was initially chartered.</w:t>
      </w:r>
    </w:p>
    <w:p w14:paraId="09238D23" w14:textId="77777777" w:rsidR="002818FC" w:rsidRPr="002818FC" w:rsidRDefault="002818FC" w:rsidP="002818FC">
      <w:pPr>
        <w:pStyle w:val="MainBody"/>
      </w:pPr>
      <w:r w:rsidRPr="002818FC">
        <w:t>Already then, we see here a far more nuanced account of the origin of the GSEs than can be encompassed by a simple explanation of a financial crisis followed by Congress quickly rushing for a pre-packaged idea to ram through the legislative process in response to overwhelming public outcry.  Instead, we see a legislative initiative that begins with a modest attempt to respond to a pressing policy issue (though not necessarily a crisis per-se) through government encouragement of activity in the private sector.  We see a period of several years in which this initial idea is tried in practice and comes up unsatisfactory.  We then see initiative by administrative agencies to start experimenting with solutions.  And then, over three years after the initial law’s passage, we see Congress return to the issue to make incremental revisions to its prior enactments.</w:t>
      </w:r>
    </w:p>
    <w:p w14:paraId="33EA36CE" w14:textId="4391E369" w:rsidR="002818FC" w:rsidRPr="002818FC" w:rsidRDefault="002818FC" w:rsidP="002818FC">
      <w:pPr>
        <w:pStyle w:val="MainBody"/>
      </w:pPr>
      <w:r w:rsidRPr="002818FC">
        <w:t xml:space="preserve">Yet, as discussed above, limits on Fannie Mae’s purchasing power (particularly the restriction of it to FHA backed mortgages) would have rendered it largely a historical footnote had its scope not been greatly expanded by subsequent legislation.  Much of this expansion was driven by a sense of concern, at times even crisis, but these were crises in the availability of housing – the financial machinery of increasing available housing was a tool rather than an end of the legislation itself.  </w:t>
      </w:r>
    </w:p>
    <w:p w14:paraId="3B45546D" w14:textId="532813F1" w:rsidR="002818FC" w:rsidRPr="002818FC" w:rsidRDefault="002818FC" w:rsidP="002818FC">
      <w:pPr>
        <w:pStyle w:val="MainBody"/>
      </w:pPr>
      <w:r w:rsidRPr="002818FC">
        <w:t xml:space="preserve">The first big expansion of Fannie’s authority came with the Housing Act of 1948, which doubled Fannie’s scope to allow it to purchase Veterans Administration loans.  Housing, particularly for returning veterans, turned into a key issue in both the </w:t>
      </w:r>
      <w:r w:rsidRPr="002818FC">
        <w:lastRenderedPageBreak/>
        <w:t>congressional and presidential elections of 1948,</w:t>
      </w:r>
      <w:r w:rsidRPr="002818FC">
        <w:rPr>
          <w:vertAlign w:val="superscript"/>
        </w:rPr>
        <w:footnoteReference w:id="191"/>
      </w:r>
      <w:r w:rsidRPr="002818FC">
        <w:t xml:space="preserve"> and this legislative move was thus part of the Truman administration’s bid to show progress on the housing issue ahead of that election.  </w:t>
      </w:r>
    </w:p>
    <w:p w14:paraId="6DC4C066" w14:textId="5EE6B12E" w:rsidR="002818FC" w:rsidRPr="002818FC" w:rsidRDefault="002818FC" w:rsidP="002818FC">
      <w:pPr>
        <w:pStyle w:val="MainBody"/>
      </w:pPr>
      <w:r w:rsidRPr="002818FC">
        <w:t>The Emergency Housing Act of 1970, which tripled the scope of Fannie’s mandate by allowing it to purchase conventional mortgages not backed by the FHA or the VA offers particular insight into the nuances of the political processes that influenced how the government came to shape modern finance around the presence of the GSEs.  In the late 1960s and into 1970, housing was becoming increasingly unaffordable as rising inflation and caps on interest rates siphoned funds out of savings and loan associations and other institutions that traditionally extended mortgage credit.  There was broad bi-partisan agreement that action of some sort was needed, but less agreement as to the particulars of what that should be.  In March of 1970, the Senate Subcommittee on Housing and Urban Affairs convened to hear testimony on a slate of competing legislative proposals to address this problem of housing finance.</w:t>
      </w:r>
      <w:r w:rsidRPr="002818FC">
        <w:rPr>
          <w:vertAlign w:val="superscript"/>
        </w:rPr>
        <w:footnoteReference w:id="192"/>
      </w:r>
    </w:p>
    <w:p w14:paraId="3015EAFD" w14:textId="520D2F91" w:rsidR="002818FC" w:rsidRPr="002818FC" w:rsidRDefault="002818FC" w:rsidP="002818FC">
      <w:pPr>
        <w:pStyle w:val="MainBody"/>
      </w:pPr>
      <w:r w:rsidRPr="002818FC">
        <w:t>President Nixon’s Secretary of Housing and Urban Development, George W. Romney, presented a set of administrative proposals that included creating tax incentives to encourage more construction of housing and cutting government spending in order to reduce government borrowing that he argued created caused investors to direct their funds towards treasury securities rather than towards more productive uses such as housing lending.</w:t>
      </w:r>
      <w:r w:rsidRPr="002818FC">
        <w:rPr>
          <w:vertAlign w:val="superscript"/>
        </w:rPr>
        <w:footnoteReference w:id="193"/>
      </w:r>
      <w:r w:rsidRPr="002818FC">
        <w:t xml:space="preserve">  Relatively low on Secretary Romney’s list of suggestions (item six out of seven, and one which he spent little time discussing with the Senate), was support for a proposal to allow Fannie Mae to begin purchasing conventional mortgages.</w:t>
      </w:r>
      <w:r w:rsidRPr="002818FC">
        <w:rPr>
          <w:vertAlign w:val="superscript"/>
        </w:rPr>
        <w:footnoteReference w:id="194"/>
      </w:r>
    </w:p>
    <w:p w14:paraId="53E4AEF8" w14:textId="44CB9B2F" w:rsidR="002818FC" w:rsidRPr="002818FC" w:rsidRDefault="002818FC" w:rsidP="002818FC">
      <w:pPr>
        <w:pStyle w:val="MainBody"/>
      </w:pPr>
      <w:r w:rsidRPr="002818FC">
        <w:t xml:space="preserve">This proposal to expand Fannie Mae’s purchasing authority had been proposed the previous year by the National Association </w:t>
      </w:r>
      <w:r w:rsidRPr="002818FC">
        <w:lastRenderedPageBreak/>
        <w:t>of Real Estate Boards as a way to stimulate additional house purchase activity.</w:t>
      </w:r>
      <w:r w:rsidRPr="002818FC">
        <w:rPr>
          <w:vertAlign w:val="superscript"/>
        </w:rPr>
        <w:footnoteReference w:id="195"/>
      </w:r>
      <w:r w:rsidRPr="002818FC">
        <w:t xml:space="preserve">  Governor Sherman J. Maisel of the Federal Reserve Board also testified before the Senate, and echoed Romney’s somewhat tepid support for expanding the purchasing authority of Fannie Mae.  Governor Maisel stated that while he did not oppose expanding the authority and did see some benefits to it, he was skeptical that it would have a large scale impact, stating “the most feasible way to expand the pool of housing credit is to reduce the demand [that] the Federal Government is making on the private capital markets.”</w:t>
      </w:r>
      <w:r w:rsidRPr="002818FC">
        <w:rPr>
          <w:vertAlign w:val="superscript"/>
        </w:rPr>
        <w:footnoteReference w:id="196"/>
      </w:r>
    </w:p>
    <w:p w14:paraId="07194FBE" w14:textId="182B00D5" w:rsidR="002818FC" w:rsidRPr="002818FC" w:rsidRDefault="002818FC" w:rsidP="002818FC">
      <w:pPr>
        <w:pStyle w:val="MainBody"/>
      </w:pPr>
      <w:r w:rsidRPr="002818FC">
        <w:t>Unsurprisingly, Allan Oakley Hunter, president of Fannie Mae, took a far more enthusiastic stance in support of expanding its purchasing authority in his testimony before the Senate Subcommittee.</w:t>
      </w:r>
      <w:r w:rsidRPr="002818FC">
        <w:rPr>
          <w:vertAlign w:val="superscript"/>
        </w:rPr>
        <w:footnoteReference w:id="197"/>
      </w:r>
      <w:r w:rsidRPr="002818FC">
        <w:t xml:space="preserve">  A large component of Mr. Hunter’s testimony focused on outlining the successes that Fannie Mae had established in its prior work purchasing and re-selling FHA and VA backed mortgages and arguing that Fannie could expand on these successes if its scope was increased to larger segments of the mortgage market.</w:t>
      </w:r>
      <w:r w:rsidRPr="002818FC">
        <w:rPr>
          <w:vertAlign w:val="superscript"/>
        </w:rPr>
        <w:footnoteReference w:id="198"/>
      </w:r>
      <w:r w:rsidRPr="002818FC">
        <w:t xml:space="preserve"> </w:t>
      </w:r>
    </w:p>
    <w:p w14:paraId="7114D1DC" w14:textId="4EB53124" w:rsidR="002818FC" w:rsidRPr="002818FC" w:rsidRDefault="002818FC" w:rsidP="002818FC">
      <w:pPr>
        <w:pStyle w:val="MainBody"/>
      </w:pPr>
      <w:r w:rsidRPr="002818FC">
        <w:t>Mr. Hunter also found significant support for his proposals in the testimony of Preston Martin, Chairman of the Federal Home Loan Bank Board (FHLBB), the federal agency overseeing federal home loan banks that helped provide financing to savings and loan institutions.</w:t>
      </w:r>
      <w:r w:rsidRPr="002818FC">
        <w:rPr>
          <w:vertAlign w:val="superscript"/>
        </w:rPr>
        <w:footnoteReference w:id="199"/>
      </w:r>
      <w:r w:rsidRPr="002818FC">
        <w:t xml:space="preserve">  Chairman Martin advocated for the creation of what would become Freddie Mac – to purchase loans from savings and loan institutions just as Fannie Mae purchased loans from banks.  But, Chairman Martin agreed with Mr. Hunter that both national purchasing entities should be empowered to purchase conventional loans, rather than just those guaranteed by the VA or FHA.</w:t>
      </w:r>
      <w:r w:rsidRPr="002818FC">
        <w:rPr>
          <w:vertAlign w:val="superscript"/>
        </w:rPr>
        <w:footnoteReference w:id="200"/>
      </w:r>
    </w:p>
    <w:p w14:paraId="46C3DAB6" w14:textId="76C71673" w:rsidR="002818FC" w:rsidRPr="002818FC" w:rsidRDefault="002818FC" w:rsidP="002818FC">
      <w:pPr>
        <w:pStyle w:val="MainBody"/>
      </w:pPr>
      <w:r w:rsidRPr="002818FC">
        <w:t>Ultimately, the Senate considered a bill that adopted, amongst other housing related measures, these proposals to ex</w:t>
      </w:r>
      <w:r w:rsidRPr="002818FC">
        <w:lastRenderedPageBreak/>
        <w:t>pand Fannie’s purchasing authority and to create a sibling institution, Freddie Mac.  The bill passed the Senate on a vote of 72 in favor and none opposed.  It secured support in the house by a vote of 324 in favor, two opposed, and 102 not present.  President Nixon signed the Emergency Home Finance Act into law on July 24, 1970.</w:t>
      </w:r>
      <w:r w:rsidRPr="002818FC">
        <w:rPr>
          <w:vertAlign w:val="superscript"/>
        </w:rPr>
        <w:footnoteReference w:id="201"/>
      </w:r>
    </w:p>
    <w:p w14:paraId="62AA4045" w14:textId="001312DB" w:rsidR="002818FC" w:rsidRPr="002818FC" w:rsidRDefault="002818FC" w:rsidP="002818FC">
      <w:pPr>
        <w:pStyle w:val="MainBody"/>
      </w:pPr>
      <w:r w:rsidRPr="002818FC">
        <w:t xml:space="preserve">Several features of this process stand out in particular for informing the development of key pieces of the financial landscape in the United States.  First, just as the initial creation of Fannie Mae was itself the result of an incremental process, so too was this dramatic step to triple its authority and to create, for the first time, what most closely resembles Fannie Mae as it has been known in the more recent history of the past two decades.  In particular, Fannie Mae’s initial, smaller start enabled it to get a toehold, begin building up constituencies in support of its operations, and to establish a track record of success, all of which were critical to setting the stage for its dramatic expansion in 1970.  Although it is not possible to know the counterfactual outcome for certain, it seems very plausible that there never would have been a time in US history that the GSEs as we now know them could have been created in one fell legislative swoop.  Thus again, this instance belies the simple model of a single precipitous crisis that prompts rash action by Congress that is soon widely regretted.  </w:t>
      </w:r>
    </w:p>
    <w:p w14:paraId="38709433" w14:textId="34E2E90B" w:rsidR="002818FC" w:rsidRPr="002818FC" w:rsidRDefault="002818FC" w:rsidP="002818FC">
      <w:pPr>
        <w:pStyle w:val="MainBody"/>
      </w:pPr>
      <w:r w:rsidRPr="002818FC">
        <w:t xml:space="preserve">Secondly, we see in this process an interplay between federal agencies, here the Federal Reserve and the FHLBB, which evolved with different perspectives, interests, and constituencies, working at times together and at times in tension with one another to impact the direction of the legislation.  Finally, we see a swirling of political interests here, at times opposed to each other but equally often simply varying in emphasis and strategy, and ultimately coalescing into an essentially unanimous agreement on a piece of legislation.  Theories that posit that major financial reforms and government interventions in the financial system are a result of policy entrepreneurs seizing the levers of power and ramming through legislation against the better judgment of </w:t>
      </w:r>
      <w:r w:rsidRPr="002818FC">
        <w:lastRenderedPageBreak/>
        <w:t>sounder minds would have a more difficult time accounting for a process and outcome such as this.</w:t>
      </w:r>
    </w:p>
    <w:p w14:paraId="51F2290A" w14:textId="77777777" w:rsidR="002818FC" w:rsidRPr="002818FC" w:rsidRDefault="002818FC" w:rsidP="002818FC">
      <w:pPr>
        <w:pStyle w:val="MainBody"/>
      </w:pPr>
    </w:p>
    <w:p w14:paraId="022321E6" w14:textId="77777777" w:rsidR="002818FC" w:rsidRDefault="002818FC" w:rsidP="002818FC">
      <w:pPr>
        <w:pStyle w:val="MainBody"/>
      </w:pPr>
    </w:p>
    <w:p w14:paraId="46320E5C" w14:textId="29259FA9" w:rsidR="002818FC" w:rsidRPr="00CF0015" w:rsidRDefault="002818FC" w:rsidP="008729D8">
      <w:pPr>
        <w:pStyle w:val="MainBody"/>
      </w:pPr>
      <w:r>
        <w:t xml:space="preserve"> </w:t>
      </w:r>
    </w:p>
    <w:p w14:paraId="45B0C388" w14:textId="294A14A5" w:rsidR="00CF0015" w:rsidRDefault="00CF0015" w:rsidP="00CF0015">
      <w:pPr>
        <w:pStyle w:val="MainBody"/>
      </w:pPr>
    </w:p>
    <w:p w14:paraId="1A06C86C" w14:textId="77777777" w:rsidR="00CF0015" w:rsidRDefault="00CF0015" w:rsidP="00CF0015">
      <w:pPr>
        <w:pStyle w:val="MainBody"/>
      </w:pPr>
    </w:p>
    <w:p w14:paraId="7B533995" w14:textId="77777777" w:rsidR="00CF0015" w:rsidRPr="00CF0015" w:rsidRDefault="00CF0015" w:rsidP="00CF0015">
      <w:pPr>
        <w:pStyle w:val="MainBody"/>
      </w:pPr>
    </w:p>
    <w:p w14:paraId="41E70728" w14:textId="77777777" w:rsidR="00CF0015" w:rsidRDefault="00CF0015" w:rsidP="00DF4EF9">
      <w:pPr>
        <w:tabs>
          <w:tab w:val="left" w:pos="360"/>
        </w:tabs>
        <w:spacing w:line="240" w:lineRule="auto"/>
        <w:ind w:firstLine="720"/>
        <w:rPr>
          <w:szCs w:val="24"/>
        </w:rPr>
      </w:pPr>
    </w:p>
    <w:p w14:paraId="57546860" w14:textId="64D8055C" w:rsidR="000D269B" w:rsidRDefault="00A63347" w:rsidP="000D269B">
      <w:pPr>
        <w:pStyle w:val="Heading3"/>
      </w:pPr>
      <w:r>
        <w:t xml:space="preserve">The </w:t>
      </w:r>
      <w:r w:rsidR="000D269B">
        <w:t>Punctuated Coalitions</w:t>
      </w:r>
      <w:r>
        <w:t xml:space="preserve"> of Housing Finance</w:t>
      </w:r>
    </w:p>
    <w:p w14:paraId="32219336" w14:textId="77777777" w:rsidR="00076385" w:rsidRDefault="000D269B" w:rsidP="000D269B">
      <w:pPr>
        <w:ind w:firstLine="720"/>
      </w:pPr>
      <w:r>
        <w:t xml:space="preserve">The path of housing finance illustrates </w:t>
      </w:r>
      <w:r w:rsidR="00A63347">
        <w:t xml:space="preserve">some </w:t>
      </w:r>
      <w:r>
        <w:t xml:space="preserve">key aspects of punctuated legislative analysis. The most important is the “institutional layering” that occurs </w:t>
      </w:r>
      <w:r w:rsidR="00B52449">
        <w:t>in the policymaking process. As we saw, housing finance was a focus—even an obsession—for subsequent administrations. The Home Ownership Loan Corporation even duplicated the same functions, in a world without securitization and private-corporation status</w:t>
      </w:r>
      <w:r w:rsidR="00076385">
        <w:t>. But Congress made a strategic choice to emphasize Fannie, liquidate the HOLC, and then, by a thousand cuts, create an until now housing finance juggernaut that has proved almost invulnerable to reform.</w:t>
      </w:r>
    </w:p>
    <w:p w14:paraId="6044E97B" w14:textId="77777777" w:rsidR="00076385" w:rsidRDefault="00076385" w:rsidP="000D269B">
      <w:pPr>
        <w:ind w:firstLine="720"/>
      </w:pPr>
      <w:r>
        <w:t xml:space="preserve">Institutional layering, the concept pioneered by political scientist Kathleen Thelen, is the key component of punctuated coalitions that supported housing finance. Congress added on top of existing architecture, making tweaks along the way that fit the political moment of the time. But neither Roosevelt nor Johnson nor Nixon nor any of their contemporaries ever started fresh. They built on what had come before. </w:t>
      </w:r>
    </w:p>
    <w:p w14:paraId="2EBC4DD6" w14:textId="77777777" w:rsidR="00076385" w:rsidRDefault="00076385" w:rsidP="000D269B">
      <w:pPr>
        <w:ind w:firstLine="720"/>
      </w:pPr>
      <w:r>
        <w:t xml:space="preserve">The other aspect of punctuated coalitions that we see in housing finance is how old ideas can lead to unintended consequences even if the ideas themselves do not change. Fannie Mae was a Mortgage Association (in the awkward non-acronym that is Fannie Mae, the Mae is for mortgage association). The idea was to create an industry that private market participants could join and even dominate. They didn’t. And eventually, the enthusiasm for the mortgage products that HOLC and Fannie Mae pioneered meant that, even as a “private” corporation, American systems adapted to those systems. When combined with the profit motive and the bipartisan enthusiasm for home ownership, </w:t>
      </w:r>
      <w:r>
        <w:lastRenderedPageBreak/>
        <w:t xml:space="preserve">old ideas—like creating secondary markets for mortgages, or securitization—created something that no one ever really designed. </w:t>
      </w:r>
    </w:p>
    <w:p w14:paraId="505C482C" w14:textId="4D7B36CA" w:rsidR="000D269B" w:rsidRDefault="00076385" w:rsidP="000D269B">
      <w:pPr>
        <w:ind w:firstLine="720"/>
      </w:pPr>
      <w:r>
        <w:t xml:space="preserve">Finally, the history of housing finance legislation in the United States illustrates that Congress does indeed respond to exogenous events. Those events just aren’t always—or even very often—financial crises. Sometimes they are fiscal, sometimes they are martial, sometimes they are driven by the personalities of legislative experimenters. Congress is always responding to something. Punctuated coalition analysis helps place at the center the sheer variety of those exogenous events.  </w:t>
      </w:r>
    </w:p>
    <w:p w14:paraId="70B1F843" w14:textId="0AF1B8BB" w:rsidR="00076385" w:rsidRDefault="00076385" w:rsidP="000D269B">
      <w:pPr>
        <w:ind w:firstLine="720"/>
      </w:pPr>
    </w:p>
    <w:p w14:paraId="76488D23" w14:textId="68DDE2BC" w:rsidR="00076385" w:rsidRPr="000D269B" w:rsidRDefault="00076385" w:rsidP="00076385">
      <w:pPr>
        <w:pStyle w:val="Heading2"/>
      </w:pPr>
      <w:r>
        <w:t>Holding Company Legislation That No One Loved</w:t>
      </w:r>
    </w:p>
    <w:p w14:paraId="2BD43FAA" w14:textId="52602EE7" w:rsidR="00CF0015" w:rsidRDefault="00FE5875" w:rsidP="00FE5875">
      <w:pPr>
        <w:pStyle w:val="Heading3"/>
      </w:pPr>
      <w:r>
        <w:t>The Americanness of Bank Holding Companies</w:t>
      </w:r>
    </w:p>
    <w:p w14:paraId="377D0F08" w14:textId="39D229EF" w:rsidR="00DF4EF9" w:rsidRPr="0097784F" w:rsidRDefault="00DF4EF9" w:rsidP="00FE5875">
      <w:pPr>
        <w:tabs>
          <w:tab w:val="left" w:pos="360"/>
        </w:tabs>
        <w:spacing w:line="240" w:lineRule="auto"/>
        <w:ind w:firstLine="360"/>
        <w:rPr>
          <w:szCs w:val="24"/>
        </w:rPr>
      </w:pPr>
      <w:r w:rsidRPr="0097784F">
        <w:rPr>
          <w:szCs w:val="24"/>
        </w:rPr>
        <w:t>The bank holding company—an entity that controls a bank—was not a new entity in the 1950s</w:t>
      </w:r>
      <w:r w:rsidR="00076385">
        <w:rPr>
          <w:szCs w:val="24"/>
        </w:rPr>
        <w:t xml:space="preserve">. But </w:t>
      </w:r>
      <w:r w:rsidRPr="0097784F">
        <w:rPr>
          <w:szCs w:val="24"/>
        </w:rPr>
        <w:t xml:space="preserve">they were (and are) unusually American. </w:t>
      </w:r>
      <w:r w:rsidR="00076385">
        <w:rPr>
          <w:szCs w:val="24"/>
        </w:rPr>
        <w:t xml:space="preserve">The innovation of a bank holding company for the U.S., and the reason </w:t>
      </w:r>
      <w:r w:rsidR="00661153">
        <w:rPr>
          <w:szCs w:val="24"/>
        </w:rPr>
        <w:t xml:space="preserve">it was nearly unique to it, has to do with </w:t>
      </w:r>
      <w:r w:rsidRPr="0097784F">
        <w:rPr>
          <w:szCs w:val="24"/>
        </w:rPr>
        <w:t xml:space="preserve">U.S. history, politics, and law. </w:t>
      </w:r>
    </w:p>
    <w:p w14:paraId="53B689A3" w14:textId="0D89BE0C" w:rsidR="00DF4EF9" w:rsidRDefault="00DF4EF9" w:rsidP="00FE5875">
      <w:pPr>
        <w:tabs>
          <w:tab w:val="left" w:pos="360"/>
        </w:tabs>
        <w:spacing w:line="240" w:lineRule="auto"/>
        <w:ind w:firstLine="360"/>
        <w:rPr>
          <w:szCs w:val="24"/>
        </w:rPr>
      </w:pPr>
      <w:r w:rsidRPr="0097784F">
        <w:rPr>
          <w:szCs w:val="24"/>
        </w:rPr>
        <w:t>Bank holding companies existed because of restrictions on branch and interstate banking. These restrictions varied by state, but interstate banking was prohibited through most of the 20</w:t>
      </w:r>
      <w:r w:rsidRPr="0097784F">
        <w:rPr>
          <w:szCs w:val="24"/>
          <w:vertAlign w:val="superscript"/>
        </w:rPr>
        <w:t>th</w:t>
      </w:r>
      <w:r w:rsidRPr="0097784F">
        <w:rPr>
          <w:szCs w:val="24"/>
        </w:rPr>
        <w:t xml:space="preserve"> century. Separately, bank charters nearly universally prohibited nonbank businesses from owning banks. These twin restrictions—the separation of commerce from finance, and the small-bank preference that branching restrictions demonstrated—were not ironclad. Since at least the 1830s, clever businessmen had formed loose corporate affiliations between and among multiple banks and between and among banks and non-bank businesses. </w:t>
      </w:r>
      <w:r w:rsidR="00661153">
        <w:rPr>
          <w:szCs w:val="24"/>
        </w:rPr>
        <w:t>Bankers and policymakers in the U.S. knew how unusual their structure was, but the preference for restrictions on power meant that lifting these restrictions was an extraordinary—and extraordinarily fraught—effort. T</w:t>
      </w:r>
      <w:r w:rsidRPr="0097784F">
        <w:rPr>
          <w:szCs w:val="24"/>
        </w:rPr>
        <w:t xml:space="preserve">he McFadden Act </w:t>
      </w:r>
      <w:r w:rsidR="00661153">
        <w:rPr>
          <w:szCs w:val="24"/>
        </w:rPr>
        <w:t xml:space="preserve">of 1927 finally began permitting </w:t>
      </w:r>
      <w:r w:rsidRPr="0097784F">
        <w:rPr>
          <w:szCs w:val="24"/>
        </w:rPr>
        <w:t>branch banking within states</w:t>
      </w:r>
      <w:r w:rsidR="00661153">
        <w:rPr>
          <w:szCs w:val="24"/>
        </w:rPr>
        <w:t xml:space="preserve">, where state legislation allowed it, </w:t>
      </w:r>
      <w:r w:rsidRPr="0097784F">
        <w:rPr>
          <w:szCs w:val="24"/>
        </w:rPr>
        <w:t>but the bank holding company</w:t>
      </w:r>
      <w:r w:rsidR="00661153">
        <w:rPr>
          <w:szCs w:val="24"/>
        </w:rPr>
        <w:t xml:space="preserve"> </w:t>
      </w:r>
      <w:r w:rsidRPr="0097784F">
        <w:rPr>
          <w:szCs w:val="24"/>
        </w:rPr>
        <w:t>subverted even the restrictions that remained by creating separate legal entities in each state, owned by the same parent company or trust.</w:t>
      </w:r>
    </w:p>
    <w:p w14:paraId="1CCB02FD" w14:textId="3AFA37B5" w:rsidR="00DF4EF9" w:rsidRPr="0097784F" w:rsidRDefault="0070033C" w:rsidP="00FE5875">
      <w:pPr>
        <w:tabs>
          <w:tab w:val="left" w:pos="360"/>
        </w:tabs>
        <w:spacing w:line="240" w:lineRule="auto"/>
        <w:ind w:firstLine="360"/>
        <w:rPr>
          <w:szCs w:val="24"/>
        </w:rPr>
      </w:pPr>
      <w:r>
        <w:rPr>
          <w:szCs w:val="24"/>
        </w:rPr>
        <w:lastRenderedPageBreak/>
        <w:t xml:space="preserve">In other words, an effort to punish—or rationalize—the creaky system of quasi-group banking was a legislative target for decades. Just not a successful one. </w:t>
      </w:r>
      <w:r w:rsidR="00DF4EF9" w:rsidRPr="0097784F">
        <w:rPr>
          <w:szCs w:val="24"/>
        </w:rPr>
        <w:t xml:space="preserve">The 1930s had seen some forward momentum on the regulation of bank holding companies. </w:t>
      </w:r>
      <w:r>
        <w:rPr>
          <w:szCs w:val="24"/>
        </w:rPr>
        <w:t xml:space="preserve">The Banking Act of 1933 </w:t>
      </w:r>
      <w:r w:rsidR="00DF4EF9" w:rsidRPr="0097784F">
        <w:rPr>
          <w:szCs w:val="24"/>
        </w:rPr>
        <w:t>mentioned them</w:t>
      </w:r>
      <w:r>
        <w:rPr>
          <w:szCs w:val="24"/>
        </w:rPr>
        <w:t xml:space="preserve"> by name</w:t>
      </w:r>
      <w:r w:rsidR="00DF4EF9" w:rsidRPr="0097784F">
        <w:rPr>
          <w:szCs w:val="24"/>
        </w:rPr>
        <w:t>, if only to try to bring holding companies under the same supervisory umbrella as other members of the Federal Reserve System.</w:t>
      </w:r>
      <w:r>
        <w:rPr>
          <w:rStyle w:val="FootnoteReference"/>
          <w:szCs w:val="24"/>
        </w:rPr>
        <w:footnoteReference w:id="202"/>
      </w:r>
      <w:r w:rsidR="00DF4EF9" w:rsidRPr="0097784F">
        <w:rPr>
          <w:szCs w:val="24"/>
        </w:rPr>
        <w:t xml:space="preserve"> But even that mechanism lacked teeth. Small, state-chartered banks still, even in the postcrisis period of the 1930s, exercised significant political power to thwart the handful of legislative efforts to abolish interstate restrictions and bring all banking into a common </w:t>
      </w:r>
      <w:r w:rsidR="0085028E">
        <w:rPr>
          <w:szCs w:val="24"/>
        </w:rPr>
        <w:t>regulatory and supervisory system.</w:t>
      </w:r>
    </w:p>
    <w:p w14:paraId="03172382" w14:textId="49BAEAAF" w:rsidR="00FE5875" w:rsidRDefault="00E41F70" w:rsidP="00E41F70">
      <w:pPr>
        <w:pStyle w:val="Heading3"/>
      </w:pPr>
      <w:r>
        <w:t>Transamerica and the Fed’s Legal Failures</w:t>
      </w:r>
    </w:p>
    <w:p w14:paraId="333E7668" w14:textId="4C01FB6B" w:rsidR="00DF4EF9" w:rsidRPr="0097784F" w:rsidRDefault="00DF4EF9" w:rsidP="00FE5875">
      <w:pPr>
        <w:tabs>
          <w:tab w:val="left" w:pos="360"/>
        </w:tabs>
        <w:spacing w:line="240" w:lineRule="auto"/>
        <w:ind w:firstLine="360"/>
        <w:rPr>
          <w:szCs w:val="24"/>
        </w:rPr>
      </w:pPr>
      <w:r w:rsidRPr="0097784F">
        <w:rPr>
          <w:szCs w:val="24"/>
        </w:rPr>
        <w:t xml:space="preserve">By 1951, the bank holding company </w:t>
      </w:r>
      <w:r w:rsidRPr="0097784F">
        <w:rPr>
          <w:i/>
          <w:szCs w:val="24"/>
        </w:rPr>
        <w:t xml:space="preserve">par excellence </w:t>
      </w:r>
      <w:r w:rsidRPr="0097784F">
        <w:rPr>
          <w:szCs w:val="24"/>
        </w:rPr>
        <w:t>was Transamerica, a vast holding company that over the 1920s and 1930s grew to become one of the nation’s largest financial firms. The company’s most important asset was the Bank of Italy, the largest commercial bank in California, rechristened Bank of America in 1930 (the name that eventually stuck and migrated to the bank holding company now headquartered in Charlotte, North Carolina). It also controlled additional banks in New York, Washington, Oregon, Nevada, and Arizona. It aspired, in its founder A.P. Giannini’s terms, to become a financial services “department store” to provide its customers and clients with every conceivable financial product or service. The firm controlled insurance companies, mortgage originators, and before Glass-Steagall</w:t>
      </w:r>
      <w:r w:rsidR="0085028E">
        <w:rPr>
          <w:szCs w:val="24"/>
        </w:rPr>
        <w:t>’s abolition of that business model</w:t>
      </w:r>
      <w:r w:rsidRPr="0097784F">
        <w:rPr>
          <w:szCs w:val="24"/>
        </w:rPr>
        <w:t>, investment brokerages. For good measure, Transamerica also owned a salmon cannery, an oil and gas prospecting company, and a metal forging business. “This company,” James Bonbright and Gardiner Means wrote in their 1932 treatise on bank holding companies, “has an intercorporate structure so ramified as almost to pass beyond the bounds of comprehension.” After the war, TransAmerica continued its dramatic expansion.</w:t>
      </w:r>
      <w:r w:rsidRPr="0097784F">
        <w:rPr>
          <w:szCs w:val="24"/>
          <w:vertAlign w:val="superscript"/>
        </w:rPr>
        <w:footnoteReference w:id="203"/>
      </w:r>
    </w:p>
    <w:p w14:paraId="7E514D18" w14:textId="04D1937B" w:rsidR="00DF4EF9" w:rsidRPr="0097784F" w:rsidRDefault="00DF4EF9" w:rsidP="00FE5875">
      <w:pPr>
        <w:tabs>
          <w:tab w:val="left" w:pos="360"/>
        </w:tabs>
        <w:spacing w:line="240" w:lineRule="auto"/>
        <w:ind w:firstLine="360"/>
        <w:rPr>
          <w:szCs w:val="24"/>
        </w:rPr>
      </w:pPr>
      <w:r w:rsidRPr="0097784F">
        <w:rPr>
          <w:szCs w:val="24"/>
        </w:rPr>
        <w:lastRenderedPageBreak/>
        <w:t>By the late 1940s, the Giannini octopus presented, from the Fed’s perspective, a fundamental threat to the nation’s financial structure. This concern was not new. Ten volumes of Treasury Secretary Henry Morgenthau Jr.’s famous diaries are dedicated to fights with Bank of America over various supervisory issues. The Gianninis’ withstood this political pressure because their huge bank and massive depositor base gave them enormous political clout, particularly among the incumbent Democrats</w:t>
      </w:r>
    </w:p>
    <w:p w14:paraId="0AACFC8F" w14:textId="6D9287FF" w:rsidR="00DF4EF9" w:rsidRPr="0097784F" w:rsidRDefault="00DF4EF9" w:rsidP="00FE5875">
      <w:pPr>
        <w:tabs>
          <w:tab w:val="left" w:pos="360"/>
        </w:tabs>
        <w:spacing w:line="240" w:lineRule="auto"/>
        <w:ind w:firstLine="360"/>
        <w:rPr>
          <w:szCs w:val="24"/>
        </w:rPr>
      </w:pPr>
      <w:r w:rsidRPr="0097784F">
        <w:rPr>
          <w:szCs w:val="24"/>
        </w:rPr>
        <w:t>Marriner Eccles, who had himself created the first bank holding company in the U.S., had initially been sympathetic to the Gianinni banking interests.</w:t>
      </w:r>
      <w:r w:rsidRPr="0097784F">
        <w:rPr>
          <w:szCs w:val="24"/>
          <w:vertAlign w:val="superscript"/>
        </w:rPr>
        <w:footnoteReference w:id="204"/>
      </w:r>
      <w:r w:rsidRPr="0097784F">
        <w:rPr>
          <w:szCs w:val="24"/>
        </w:rPr>
        <w:t xml:space="preserve"> But their relationship </w:t>
      </w:r>
      <w:r w:rsidR="0085028E">
        <w:rPr>
          <w:szCs w:val="24"/>
        </w:rPr>
        <w:t xml:space="preserve">eventually soured. </w:t>
      </w:r>
      <w:r w:rsidRPr="0097784F">
        <w:rPr>
          <w:szCs w:val="24"/>
        </w:rPr>
        <w:t>By 1942 Transamerica had grown so large that it threatened to monopolize, as Eccles recalled, “a good part of the banking business of the Western seaboard.”</w:t>
      </w:r>
      <w:r w:rsidR="0085028E">
        <w:rPr>
          <w:rStyle w:val="FootnoteReference"/>
          <w:szCs w:val="24"/>
        </w:rPr>
        <w:footnoteReference w:id="205"/>
      </w:r>
      <w:r w:rsidRPr="0097784F">
        <w:rPr>
          <w:szCs w:val="24"/>
        </w:rPr>
        <w:t xml:space="preserve"> In February, in a moment of comity among the federal bank supervisors, the Fed, the Comptroller, and the FDIC ordered Transamerica to cease acquiring new banks. Giannini ignored them.</w:t>
      </w:r>
    </w:p>
    <w:p w14:paraId="22302CD1" w14:textId="7945059B" w:rsidR="00DF4EF9" w:rsidRPr="0097784F" w:rsidRDefault="00DF4EF9" w:rsidP="00FE5875">
      <w:pPr>
        <w:tabs>
          <w:tab w:val="left" w:pos="360"/>
        </w:tabs>
        <w:spacing w:line="240" w:lineRule="auto"/>
        <w:ind w:firstLine="360"/>
        <w:rPr>
          <w:szCs w:val="24"/>
        </w:rPr>
      </w:pPr>
      <w:r w:rsidRPr="0097784F">
        <w:rPr>
          <w:szCs w:val="24"/>
        </w:rPr>
        <w:lastRenderedPageBreak/>
        <w:t xml:space="preserve">The Fed, at Eccles insistence, sued. The Fed’s legal theory was an interesting one. The Banking Act of 1935, which Gianinni supported, authorized the Fed to enforce the Clayton Act’s </w:t>
      </w:r>
      <w:r w:rsidR="008D4E91">
        <w:rPr>
          <w:szCs w:val="24"/>
        </w:rPr>
        <w:t xml:space="preserve">antitrust </w:t>
      </w:r>
      <w:r w:rsidRPr="0097784F">
        <w:rPr>
          <w:szCs w:val="24"/>
        </w:rPr>
        <w:t xml:space="preserve">provisions where they applied to banks. The Fed argued that Transamerica’s position in western banking markets in five states constituted a monopoly in violation of </w:t>
      </w:r>
      <w:r w:rsidR="008D4E91">
        <w:rPr>
          <w:szCs w:val="24"/>
        </w:rPr>
        <w:t xml:space="preserve">those </w:t>
      </w:r>
      <w:r w:rsidRPr="0097784F">
        <w:rPr>
          <w:szCs w:val="24"/>
        </w:rPr>
        <w:t xml:space="preserve">laws. </w:t>
      </w:r>
      <w:r w:rsidR="008D4E91">
        <w:rPr>
          <w:szCs w:val="24"/>
        </w:rPr>
        <w:t>Courts disagreed. The Third Circuit concluded, in dismissing the Fed’s suit against Giannini’s banking interests, that the Fed’s “</w:t>
      </w:r>
      <w:r w:rsidRPr="0097784F">
        <w:rPr>
          <w:szCs w:val="24"/>
        </w:rPr>
        <w:t>conclusion of a tendency to monopoly in the five-state area</w:t>
      </w:r>
      <w:r w:rsidR="008D4E91">
        <w:rPr>
          <w:szCs w:val="24"/>
        </w:rPr>
        <w:t xml:space="preserve"> . . . </w:t>
      </w:r>
      <w:r w:rsidRPr="0097784F">
        <w:rPr>
          <w:szCs w:val="24"/>
        </w:rPr>
        <w:t>flies in the face of its own finding that the local community is the true competitive banking area.”</w:t>
      </w:r>
      <w:r w:rsidRPr="0097784F">
        <w:rPr>
          <w:szCs w:val="24"/>
          <w:vertAlign w:val="superscript"/>
        </w:rPr>
        <w:footnoteReference w:id="206"/>
      </w:r>
    </w:p>
    <w:p w14:paraId="3F873F74" w14:textId="42563C58" w:rsidR="00E41F70" w:rsidRDefault="00E41F70" w:rsidP="00E41F70">
      <w:pPr>
        <w:pStyle w:val="Heading3"/>
      </w:pPr>
      <w:r>
        <w:t>The Punctuated Coalition Behind the Bank Holding Company Act of 1956</w:t>
      </w:r>
    </w:p>
    <w:p w14:paraId="2DFB8479" w14:textId="22CA2201" w:rsidR="005F7458" w:rsidRDefault="00EC3EB8" w:rsidP="00FE5875">
      <w:pPr>
        <w:tabs>
          <w:tab w:val="left" w:pos="360"/>
        </w:tabs>
        <w:spacing w:line="240" w:lineRule="auto"/>
        <w:ind w:firstLine="360"/>
        <w:rPr>
          <w:szCs w:val="24"/>
        </w:rPr>
      </w:pPr>
      <w:r>
        <w:rPr>
          <w:szCs w:val="24"/>
        </w:rPr>
        <w:t>In other words, the mechanism to control what the Fed regarded as an illegal use of an already legally dubious structure</w:t>
      </w:r>
      <w:r w:rsidR="005F7458">
        <w:rPr>
          <w:szCs w:val="24"/>
        </w:rPr>
        <w:t xml:space="preserve"> failed, at least as a matter of antitrust law. Simultaneously, Fed insiders pushed hard for legal clarity on holding companies’ status through Congress. A </w:t>
      </w:r>
      <w:r w:rsidR="00DF4EF9" w:rsidRPr="0097784F">
        <w:rPr>
          <w:szCs w:val="24"/>
        </w:rPr>
        <w:t xml:space="preserve">coalition of banking trade associations and liberal Congressmen—including Senator Paul Douglas, the resident banking and monetary expert in the Senate—united to protect community banking from firms like TransAmerica by forcing bank holding companies to conform to the same regulations that governed the individual banks they owned, including </w:t>
      </w:r>
      <w:r w:rsidR="00DF4EF9" w:rsidRPr="0097784F">
        <w:rPr>
          <w:szCs w:val="24"/>
        </w:rPr>
        <w:lastRenderedPageBreak/>
        <w:t xml:space="preserve">importantly Glass-Steagall’s division of insurance and commercial banking and the McFadden Act’s restrictions on interstate branching. </w:t>
      </w:r>
    </w:p>
    <w:p w14:paraId="2D341110" w14:textId="70DBC433" w:rsidR="00DF4EF9" w:rsidRPr="0097784F" w:rsidRDefault="00DF4EF9" w:rsidP="00FE5875">
      <w:pPr>
        <w:tabs>
          <w:tab w:val="left" w:pos="360"/>
        </w:tabs>
        <w:spacing w:line="240" w:lineRule="auto"/>
        <w:ind w:firstLine="360"/>
        <w:rPr>
          <w:szCs w:val="24"/>
        </w:rPr>
      </w:pPr>
      <w:r w:rsidRPr="0097784F">
        <w:rPr>
          <w:szCs w:val="24"/>
        </w:rPr>
        <w:t xml:space="preserve">The coalition behind what would become the Bank Holding Company Act demonstrates </w:t>
      </w:r>
      <w:r w:rsidR="005F7458">
        <w:rPr>
          <w:szCs w:val="24"/>
        </w:rPr>
        <w:t xml:space="preserve">an </w:t>
      </w:r>
      <w:r w:rsidRPr="0097784F">
        <w:rPr>
          <w:szCs w:val="24"/>
        </w:rPr>
        <w:t xml:space="preserve">important </w:t>
      </w:r>
      <w:r w:rsidR="005F7458">
        <w:rPr>
          <w:szCs w:val="24"/>
        </w:rPr>
        <w:t xml:space="preserve">aspect about punctuated coalitions: </w:t>
      </w:r>
      <w:r w:rsidRPr="0097784F">
        <w:rPr>
          <w:szCs w:val="24"/>
        </w:rPr>
        <w:t>yesterday’s enemies become tomorrow’s allies. The bankers and liberals who had squabbled over so much during the New Deal recognized together that the aggregation of financial power through holding companies like TransAmerica threatened both liberal and conservative ideals. On the conservative side, the bankers’ trade groups argued that excessive market power, which gave larger firms competitive advantages over their independent counterparts, was as dangerous to the free enterprise system as excessive government intervention. Bank holding company regulation, Independent Bankers Association President W. J. Bryan explained, “is necessary if we are to preserve our free enterprise banking system, the economic counterpart of our political system.”</w:t>
      </w:r>
      <w:r w:rsidR="005F7458">
        <w:rPr>
          <w:rStyle w:val="FootnoteReference"/>
          <w:szCs w:val="24"/>
        </w:rPr>
        <w:footnoteReference w:id="207"/>
      </w:r>
      <w:r w:rsidRPr="0097784F">
        <w:rPr>
          <w:szCs w:val="24"/>
        </w:rPr>
        <w:t xml:space="preserve"> Similarly, for Douglas, reining-in Trans</w:t>
      </w:r>
      <w:r w:rsidR="003468F0">
        <w:rPr>
          <w:szCs w:val="24"/>
        </w:rPr>
        <w:t>a</w:t>
      </w:r>
      <w:r w:rsidRPr="0097784F">
        <w:rPr>
          <w:szCs w:val="24"/>
        </w:rPr>
        <w:t>merica was emblematic of a life-long quest to curtail the market power of large businesses and financial institutions. “Big banks commonly find it much easier and more to their liking to do business with big business rather than with little business,” Douglas informed his congressional colleagues. Douglas championed an idealized antimonopoly liberalism, where the free-enterprise system preserved small competitors against the aggressive competition of larger rivals.</w:t>
      </w:r>
      <w:r w:rsidRPr="0097784F">
        <w:rPr>
          <w:szCs w:val="24"/>
          <w:vertAlign w:val="superscript"/>
        </w:rPr>
        <w:footnoteReference w:id="208"/>
      </w:r>
    </w:p>
    <w:p w14:paraId="4126FE49" w14:textId="77777777" w:rsidR="003468F0" w:rsidRDefault="003468F0" w:rsidP="00FE5875">
      <w:pPr>
        <w:tabs>
          <w:tab w:val="left" w:pos="360"/>
        </w:tabs>
        <w:spacing w:line="240" w:lineRule="auto"/>
        <w:ind w:firstLine="360"/>
        <w:rPr>
          <w:szCs w:val="24"/>
        </w:rPr>
      </w:pPr>
      <w:r>
        <w:rPr>
          <w:szCs w:val="24"/>
        </w:rPr>
        <w:t>In response to the Fed’s failure in court—and backed by the temporary coalition of liberals, bankers, and Fed insiders like Eccles—</w:t>
      </w:r>
      <w:r w:rsidR="00DF4EF9" w:rsidRPr="0097784F">
        <w:rPr>
          <w:szCs w:val="24"/>
        </w:rPr>
        <w:t xml:space="preserve">Douglas pushed for a bill that would, like the McFadden Act, confine bank holding companies within individual states, and thus maintain local democratic control over financial markets. As Congress debated the Bank Holding Company Act, however, many members were willing to consider regulatory moderation. Against Douglas’s wishes, the Senate Banking Committee reported a bill that allowed bank holding companies to cross state lines subject to Federal Reserve approval. They did so under the </w:t>
      </w:r>
      <w:r w:rsidR="00DF4EF9" w:rsidRPr="0097784F">
        <w:rPr>
          <w:szCs w:val="24"/>
        </w:rPr>
        <w:lastRenderedPageBreak/>
        <w:t>not unreasonable theory that authority over the national banking system should rest with national authorities. Douglas took his fight to the floor of Congress. There he introduced an amendment originally proposed by the American Bankers Association, stating that no out-of-state bank holding company could acquire a bank within a state “unless the acquisition…is specifically authorized by the statute laws of the State in which such bank is located, by language to that effect and not merely by implication.”</w:t>
      </w:r>
      <w:r w:rsidR="00DF4EF9" w:rsidRPr="0097784F">
        <w:rPr>
          <w:rStyle w:val="FootnoteReference"/>
          <w:rFonts w:ascii="Garamond" w:hAnsi="Garamond"/>
          <w:szCs w:val="24"/>
        </w:rPr>
        <w:footnoteReference w:id="209"/>
      </w:r>
      <w:r w:rsidR="00DF4EF9" w:rsidRPr="0097784F">
        <w:rPr>
          <w:szCs w:val="24"/>
        </w:rPr>
        <w:t xml:space="preserve"> That compromise language was meant to give the states a greater say—so long as they were explicit, “not merely by implication”—in permitting the growth of bank holding companies in their jurisdictions. </w:t>
      </w:r>
    </w:p>
    <w:p w14:paraId="417F6310" w14:textId="2042E3B9" w:rsidR="00DF4EF9" w:rsidRPr="0097784F" w:rsidRDefault="00DF4EF9" w:rsidP="00FE5875">
      <w:pPr>
        <w:tabs>
          <w:tab w:val="left" w:pos="360"/>
        </w:tabs>
        <w:spacing w:line="240" w:lineRule="auto"/>
        <w:ind w:firstLine="360"/>
        <w:rPr>
          <w:szCs w:val="24"/>
        </w:rPr>
      </w:pPr>
      <w:r w:rsidRPr="0097784F">
        <w:rPr>
          <w:szCs w:val="24"/>
        </w:rPr>
        <w:t>Given the large number of small bankers and their political influence at the state level, the ABA and members of congress believed that no state would ever pass such legislation. Still, by giving the states the choice, the act nevertheless maintained state sovereignty over local finance. Both the amendment and the final bill passed, marking the Bank Holding Company Act (1956) as a strong reaffirmation of the New Deal efforts to fight monopoly power and maintain the nation’s long-held preference for small banks and local financial sovereignty.</w:t>
      </w:r>
      <w:r w:rsidRPr="0097784F">
        <w:rPr>
          <w:szCs w:val="24"/>
          <w:vertAlign w:val="superscript"/>
        </w:rPr>
        <w:footnoteReference w:id="210"/>
      </w:r>
    </w:p>
    <w:p w14:paraId="4F0824E5" w14:textId="4FEDDD45" w:rsidR="00DF4EF9" w:rsidRPr="0097784F" w:rsidRDefault="00DF4EF9" w:rsidP="00FE5875">
      <w:pPr>
        <w:tabs>
          <w:tab w:val="left" w:pos="360"/>
        </w:tabs>
        <w:spacing w:line="240" w:lineRule="auto"/>
        <w:ind w:firstLine="360"/>
        <w:rPr>
          <w:szCs w:val="24"/>
        </w:rPr>
      </w:pPr>
      <w:r w:rsidRPr="0097784F">
        <w:rPr>
          <w:szCs w:val="24"/>
        </w:rPr>
        <w:t xml:space="preserve">The Act accomplished a number of tasks and represented a substantial expansion of the Fed’s role </w:t>
      </w:r>
      <w:r w:rsidR="003468F0">
        <w:rPr>
          <w:szCs w:val="24"/>
        </w:rPr>
        <w:t>at the national level</w:t>
      </w:r>
      <w:r w:rsidRPr="0097784F">
        <w:rPr>
          <w:szCs w:val="24"/>
        </w:rPr>
        <w:t xml:space="preserve">. The twin aims of the BHCA were first to prevent expansion of banks controlled by holding companies, second to limit the extent that non-banking businesses were affiliated with insured banks—precisely the twin features (or defects, depending on one’s perspective) of Giannini’s empire. To fill these gaps, the bill defined “bank holding company” to mean “any company which directly or indirectly owns, controls, or holds with power to vote, 25 per centum or more of the voting shares of each of two or more banks”. That two-bank threshold was an exception pushed hard by large banks, and was a concession the Fed fought against. It also reduced the amount of stock needed to exert control, from </w:t>
      </w:r>
      <w:r w:rsidRPr="0097784F">
        <w:rPr>
          <w:szCs w:val="24"/>
        </w:rPr>
        <w:lastRenderedPageBreak/>
        <w:t>the 50% standard used in the 1933 legislation. Finally, any holding company that met the definition under the new legislation had to divest themselves of nonbanking voting interests.</w:t>
      </w:r>
      <w:r w:rsidR="003468F0">
        <w:rPr>
          <w:rStyle w:val="FootnoteReference"/>
          <w:szCs w:val="24"/>
        </w:rPr>
        <w:footnoteReference w:id="211"/>
      </w:r>
      <w:r w:rsidRPr="0097784F">
        <w:rPr>
          <w:szCs w:val="24"/>
        </w:rPr>
        <w:t xml:space="preserve"> </w:t>
      </w:r>
    </w:p>
    <w:p w14:paraId="067C34FE" w14:textId="78112663" w:rsidR="00DF4EF9" w:rsidRPr="0097784F" w:rsidRDefault="00DF4EF9" w:rsidP="00FE5875">
      <w:pPr>
        <w:tabs>
          <w:tab w:val="left" w:pos="360"/>
        </w:tabs>
        <w:spacing w:line="240" w:lineRule="auto"/>
        <w:ind w:firstLine="360"/>
        <w:rPr>
          <w:szCs w:val="24"/>
        </w:rPr>
      </w:pPr>
      <w:r w:rsidRPr="0097784F">
        <w:rPr>
          <w:szCs w:val="24"/>
        </w:rPr>
        <w:t>The BHCA came at the end of a very long road toward reining in holding companies and placing them more squarely within the banking regulatory and supervisory system. As J.L. Robertson, a member of the Federal Reserve Board (and eventually its Vice Chairman) noted at the time of its passage, the act produced “a sigh of relief – and exhaustion – almost without precedent in the annals of American banking.”</w:t>
      </w:r>
      <w:r w:rsidR="00F80F4D">
        <w:rPr>
          <w:rStyle w:val="FootnoteReference"/>
          <w:szCs w:val="24"/>
        </w:rPr>
        <w:footnoteReference w:id="212"/>
      </w:r>
      <w:r w:rsidRPr="0097784F">
        <w:rPr>
          <w:szCs w:val="24"/>
        </w:rPr>
        <w:t xml:space="preserve"> Hyperbole aside, holding company legislation had been before the Congress for roughly 20 years—more, if one adds the problems of branch banking to the mix.   </w:t>
      </w:r>
    </w:p>
    <w:p w14:paraId="6609B8E8" w14:textId="30E85765" w:rsidR="00DF4EF9" w:rsidRPr="0097784F" w:rsidRDefault="00DF4EF9" w:rsidP="00FE5875">
      <w:pPr>
        <w:tabs>
          <w:tab w:val="left" w:pos="360"/>
        </w:tabs>
        <w:spacing w:line="240" w:lineRule="auto"/>
        <w:ind w:firstLine="360"/>
        <w:rPr>
          <w:szCs w:val="24"/>
        </w:rPr>
      </w:pPr>
      <w:r w:rsidRPr="0097784F">
        <w:rPr>
          <w:szCs w:val="24"/>
        </w:rPr>
        <w:t>But the final legislation was not in fact what the Fed</w:t>
      </w:r>
      <w:r w:rsidR="005A1D84">
        <w:rPr>
          <w:szCs w:val="24"/>
        </w:rPr>
        <w:t xml:space="preserve">, or Senator Douglas, or the bankers, or even the President </w:t>
      </w:r>
      <w:r w:rsidRPr="0097784F">
        <w:rPr>
          <w:szCs w:val="24"/>
        </w:rPr>
        <w:t xml:space="preserve">wanted. Dwight Eisenhower, on signing the legislation into law, issued a brief statement that comes as close to a veto as these signing statements </w:t>
      </w:r>
      <w:r w:rsidR="005A1D84">
        <w:rPr>
          <w:szCs w:val="24"/>
        </w:rPr>
        <w:t>came in the 1950s</w:t>
      </w:r>
      <w:r w:rsidRPr="0097784F">
        <w:rPr>
          <w:szCs w:val="24"/>
        </w:rPr>
        <w:t>. “Although the legislation has as its objectives (1) requiring bank holding companies to divest themselves of nonbanking assets and (2) preventing any lessening of competition in banking through the holding company device,” the Administration wrote approvingly, “as a result of various exemptions and other special provisions the legislation falls short of achieving these objectives.” But because the legislation represented “a forward step” in curing the evils of concentration that holding companies represented, the president signed it into law. “The exemptions and other special provisions will require the further attention of the Congress,” he concluded.</w:t>
      </w:r>
      <w:r w:rsidRPr="0097784F">
        <w:rPr>
          <w:rStyle w:val="FootnoteReference"/>
          <w:rFonts w:ascii="Garamond" w:hAnsi="Garamond"/>
          <w:szCs w:val="24"/>
        </w:rPr>
        <w:footnoteReference w:id="213"/>
      </w:r>
    </w:p>
    <w:p w14:paraId="1E0784CF" w14:textId="5497CC85" w:rsidR="00DF4EF9" w:rsidRPr="0097784F" w:rsidRDefault="00DF4EF9" w:rsidP="00FE5875">
      <w:pPr>
        <w:tabs>
          <w:tab w:val="left" w:pos="360"/>
        </w:tabs>
        <w:spacing w:line="240" w:lineRule="auto"/>
        <w:ind w:firstLine="360"/>
        <w:rPr>
          <w:szCs w:val="24"/>
        </w:rPr>
      </w:pPr>
      <w:r w:rsidRPr="0097784F">
        <w:rPr>
          <w:szCs w:val="24"/>
        </w:rPr>
        <w:t xml:space="preserve">The Fed largely opposed the legislation, at least in the form it finally took. This is ironic, given how much the legislation expanded the Fed’s supervisory authority. Six months after the act’s passage, Robertson strongly criticized the legislation in a speech </w:t>
      </w:r>
      <w:r w:rsidRPr="0097784F">
        <w:rPr>
          <w:szCs w:val="24"/>
        </w:rPr>
        <w:lastRenderedPageBreak/>
        <w:t>before the Independent Bankers Association. “The express requirement of the Holding Company Act that [the Fed] consider the effect of a proposed transaction  up on the preservation of competition presents problems that call for the wisdom of a Solomon – and there are not many of them around.”</w:t>
      </w:r>
      <w:r w:rsidR="005A1D84">
        <w:rPr>
          <w:rStyle w:val="FootnoteReference"/>
          <w:szCs w:val="24"/>
        </w:rPr>
        <w:footnoteReference w:id="214"/>
      </w:r>
      <w:r w:rsidRPr="0097784F">
        <w:rPr>
          <w:szCs w:val="24"/>
        </w:rPr>
        <w:t xml:space="preserve"> By giving the Fed such substantial supervisory discretion in passing on holding company applications, Congress had asked the Fed to significantly add to its supervisory burden but without the guidance the Fed itself wanted. </w:t>
      </w:r>
    </w:p>
    <w:p w14:paraId="217EBB96" w14:textId="0155E639" w:rsidR="00DF4EF9" w:rsidRDefault="00DF4EF9" w:rsidP="00FE5875">
      <w:pPr>
        <w:tabs>
          <w:tab w:val="left" w:pos="360"/>
        </w:tabs>
        <w:spacing w:line="240" w:lineRule="auto"/>
        <w:ind w:firstLine="360"/>
        <w:rPr>
          <w:szCs w:val="24"/>
        </w:rPr>
      </w:pPr>
      <w:r w:rsidRPr="0097784F">
        <w:rPr>
          <w:szCs w:val="24"/>
        </w:rPr>
        <w:t>The Fed didn’t even know how to answer basic questions assumed. “What, for example, is a ‘bank’ within the meaning of the statute?”</w:t>
      </w:r>
      <w:r w:rsidR="0022595C">
        <w:rPr>
          <w:rStyle w:val="FootnoteReference"/>
          <w:szCs w:val="24"/>
        </w:rPr>
        <w:footnoteReference w:id="215"/>
      </w:r>
      <w:r w:rsidRPr="0097784F">
        <w:rPr>
          <w:szCs w:val="24"/>
        </w:rPr>
        <w:t xml:space="preserve"> Robertson asked. The answer wasn’t obvious, but the implications of the answer would reverberate widely throughout the financial system. The result was that the “enactment of the statute, by itself, is by no means a solution of the ‘holding company problem’”. Robertson concluded by quoting Thomas Brackett Reed’s famous axiom: “One of the greatest delusions in the world is the hope that the evils of the world can be cured by legislation.”</w:t>
      </w:r>
      <w:r w:rsidRPr="0097784F">
        <w:rPr>
          <w:rStyle w:val="FootnoteReference"/>
          <w:rFonts w:ascii="Garamond" w:hAnsi="Garamond"/>
          <w:szCs w:val="24"/>
        </w:rPr>
        <w:footnoteReference w:id="216"/>
      </w:r>
    </w:p>
    <w:p w14:paraId="576DBB8C" w14:textId="0C1A4774" w:rsidR="00E41F70" w:rsidRDefault="00E41F70" w:rsidP="00FE5875">
      <w:pPr>
        <w:tabs>
          <w:tab w:val="left" w:pos="360"/>
        </w:tabs>
        <w:spacing w:line="240" w:lineRule="auto"/>
        <w:ind w:firstLine="360"/>
        <w:rPr>
          <w:szCs w:val="24"/>
        </w:rPr>
      </w:pPr>
      <w:r>
        <w:rPr>
          <w:szCs w:val="24"/>
        </w:rPr>
        <w:t>Despite this pessimism, it is not an exaggeration to say that the Bank Holding Company Act became one of the signal contributions of 20</w:t>
      </w:r>
      <w:r w:rsidRPr="00E41F70">
        <w:rPr>
          <w:szCs w:val="24"/>
          <w:vertAlign w:val="superscript"/>
        </w:rPr>
        <w:t>th</w:t>
      </w:r>
      <w:r>
        <w:rPr>
          <w:szCs w:val="24"/>
        </w:rPr>
        <w:t xml:space="preserve"> century financial legislation—even well after the restrictions on interstate banking were lifted in 1994. Figure 1, drawn from work by New York Fed economists Dafna Avraham, Patricia Selvaggi, and James Vickery, illustrates the extraordinary explosion of holding companies in the United States.</w:t>
      </w:r>
      <w:r>
        <w:rPr>
          <w:rStyle w:val="FootnoteReference"/>
          <w:szCs w:val="24"/>
        </w:rPr>
        <w:footnoteReference w:id="217"/>
      </w:r>
      <w:r>
        <w:rPr>
          <w:szCs w:val="24"/>
        </w:rPr>
        <w:t xml:space="preserve"> Holding company legislation also put the Fed in a better position to combat the financial crisis of 2008.</w:t>
      </w:r>
      <w:r>
        <w:rPr>
          <w:rStyle w:val="FootnoteReference"/>
          <w:szCs w:val="24"/>
        </w:rPr>
        <w:footnoteReference w:id="218"/>
      </w:r>
      <w:r w:rsidR="00FA15DE">
        <w:rPr>
          <w:szCs w:val="24"/>
        </w:rPr>
        <w:t xml:space="preserve"> And it has become the dominant model, postcrisis, of resolving failed banks.</w:t>
      </w:r>
      <w:r w:rsidR="00FA15DE">
        <w:rPr>
          <w:rStyle w:val="FootnoteReference"/>
          <w:szCs w:val="24"/>
        </w:rPr>
        <w:footnoteReference w:id="219"/>
      </w:r>
      <w:r w:rsidR="00F820D0">
        <w:rPr>
          <w:szCs w:val="24"/>
        </w:rPr>
        <w:t xml:space="preserve"> Creating a </w:t>
      </w:r>
      <w:r w:rsidR="00F820D0">
        <w:rPr>
          <w:szCs w:val="24"/>
        </w:rPr>
        <w:lastRenderedPageBreak/>
        <w:t>new institutional model for financial supervision and regulation put new tools in the hands of an old—and unwilling—regulator.</w:t>
      </w:r>
    </w:p>
    <w:p w14:paraId="6733F0A6" w14:textId="4EA40365" w:rsidR="00F820D0" w:rsidRDefault="00F820D0" w:rsidP="00FE5875">
      <w:pPr>
        <w:tabs>
          <w:tab w:val="left" w:pos="360"/>
        </w:tabs>
        <w:spacing w:line="240" w:lineRule="auto"/>
        <w:ind w:firstLine="360"/>
        <w:rPr>
          <w:szCs w:val="24"/>
        </w:rPr>
      </w:pPr>
    </w:p>
    <w:p w14:paraId="05231389" w14:textId="1A1E26D3" w:rsidR="00F820D0" w:rsidRDefault="00F820D0" w:rsidP="00F820D0">
      <w:pPr>
        <w:pStyle w:val="Heading3"/>
      </w:pPr>
      <w:r>
        <w:t xml:space="preserve">Punctuated Coalitions and Bank Holding Companies </w:t>
      </w:r>
    </w:p>
    <w:p w14:paraId="11922833" w14:textId="41E9EDE2" w:rsidR="00D04989" w:rsidRPr="00641221" w:rsidRDefault="00F66016" w:rsidP="00641221">
      <w:pPr>
        <w:ind w:firstLine="360"/>
      </w:pPr>
      <w:r>
        <w:t>Randomness, of course, played an important role in the passage of the Bank Holding Company Act. But the most important illustration of punctuated coalitions that we see in this legislation is titular: the coalition that formed at the beginning of the legislative process did not even survive the legislation itself. Of the strange bedfellows of liberal reformers, bankers, and the Fed that were needed to initiate the legislative process here where an “exhausted” group of policymakers had failed so many times before</w:t>
      </w:r>
      <w:r w:rsidR="00641221">
        <w:t xml:space="preserve">. This coalition was not part of a bank bargain in any grand scheme, and was not spurred on by any financial crisis (the 1950s was an unusually peaceful time in banking). It was formed in the aftermath of a court failure that, had the Fed made different arguments, might never have occurred. </w:t>
      </w:r>
      <w:r>
        <w:t xml:space="preserve">  </w:t>
      </w:r>
    </w:p>
    <w:p w14:paraId="03AA8D9F" w14:textId="0960FD35" w:rsidR="008866BE" w:rsidRPr="0097784F" w:rsidRDefault="00D457BC" w:rsidP="008866BE">
      <w:pPr>
        <w:pStyle w:val="Heading1"/>
        <w:spacing w:line="240" w:lineRule="auto"/>
        <w:rPr>
          <w:szCs w:val="24"/>
        </w:rPr>
      </w:pPr>
      <w:r>
        <w:rPr>
          <w:szCs w:val="24"/>
        </w:rPr>
        <w:t xml:space="preserve">The </w:t>
      </w:r>
      <w:r w:rsidR="00D04989" w:rsidRPr="0097784F">
        <w:rPr>
          <w:szCs w:val="24"/>
        </w:rPr>
        <w:t>Dodd-Frank</w:t>
      </w:r>
      <w:r>
        <w:rPr>
          <w:szCs w:val="24"/>
        </w:rPr>
        <w:t xml:space="preserve"> Act</w:t>
      </w:r>
      <w:r w:rsidR="00D04989" w:rsidRPr="0097784F">
        <w:rPr>
          <w:szCs w:val="24"/>
        </w:rPr>
        <w:t xml:space="preserve">: </w:t>
      </w:r>
      <w:r>
        <w:rPr>
          <w:szCs w:val="24"/>
        </w:rPr>
        <w:t>Punctuated Coalitions as Agency Warfare</w:t>
      </w:r>
    </w:p>
    <w:p w14:paraId="55C18B9D" w14:textId="180E905B" w:rsidR="008866BE" w:rsidRDefault="008866BE" w:rsidP="00641221">
      <w:pPr>
        <w:ind w:left="360"/>
        <w:rPr>
          <w:szCs w:val="24"/>
        </w:rPr>
      </w:pPr>
    </w:p>
    <w:p w14:paraId="344D6453" w14:textId="3A760773" w:rsidR="00641221" w:rsidRPr="0097784F" w:rsidRDefault="00641221" w:rsidP="00330938">
      <w:pPr>
        <w:ind w:firstLine="360"/>
        <w:rPr>
          <w:szCs w:val="24"/>
        </w:rPr>
      </w:pPr>
      <w:r>
        <w:rPr>
          <w:szCs w:val="24"/>
        </w:rPr>
        <w:t>The vast majority of this Article deals with legislation pass in the first half of the 20</w:t>
      </w:r>
      <w:r w:rsidRPr="00641221">
        <w:rPr>
          <w:szCs w:val="24"/>
          <w:vertAlign w:val="superscript"/>
        </w:rPr>
        <w:t>th</w:t>
      </w:r>
      <w:r>
        <w:rPr>
          <w:szCs w:val="24"/>
        </w:rPr>
        <w:t xml:space="preserve"> century (although housing finance was, as we’ve seen, on a slow simmer for decades). But punctuated legislative analysis is not simply a tool for historians, and insights from that mode of analysis do not require historical distance to accomplish. </w:t>
      </w:r>
      <w:r w:rsidR="00FA5C5D">
        <w:rPr>
          <w:szCs w:val="24"/>
        </w:rPr>
        <w:t xml:space="preserve">In this Part, we apply the insights to </w:t>
      </w:r>
      <w:r w:rsidR="00CB4763">
        <w:rPr>
          <w:szCs w:val="24"/>
        </w:rPr>
        <w:t>three</w:t>
      </w:r>
      <w:r w:rsidR="00FA5C5D">
        <w:rPr>
          <w:szCs w:val="24"/>
        </w:rPr>
        <w:t xml:space="preserve"> aspects of the Dodd-Frank Act—</w:t>
      </w:r>
      <w:r w:rsidR="00330938">
        <w:rPr>
          <w:szCs w:val="24"/>
        </w:rPr>
        <w:t>the creation of the Consumer Financial Protection Bureau</w:t>
      </w:r>
      <w:r w:rsidR="00CB4763">
        <w:rPr>
          <w:szCs w:val="24"/>
        </w:rPr>
        <w:t>, the failure to consolidate bank supervision to one entity, and the creation of the unwieldy Financial Stability Oversight Council</w:t>
      </w:r>
      <w:r w:rsidR="00330938">
        <w:rPr>
          <w:szCs w:val="24"/>
        </w:rPr>
        <w:t>.</w:t>
      </w:r>
      <w:r w:rsidR="00CB4763">
        <w:rPr>
          <w:szCs w:val="24"/>
        </w:rPr>
        <w:t xml:space="preserve"> In each case, coalitions that support the passage were so vanishingly ephemeral that their successes could not have been predicted.</w:t>
      </w:r>
      <w:r w:rsidR="00330938">
        <w:rPr>
          <w:szCs w:val="24"/>
        </w:rPr>
        <w:t xml:space="preserve"> </w:t>
      </w:r>
    </w:p>
    <w:p w14:paraId="4685AC25" w14:textId="201C06B9" w:rsidR="00044F9A" w:rsidRPr="0097784F" w:rsidRDefault="00044F9A" w:rsidP="004905FA">
      <w:pPr>
        <w:pStyle w:val="Heading2"/>
        <w:rPr>
          <w:szCs w:val="24"/>
        </w:rPr>
      </w:pPr>
      <w:r w:rsidRPr="0097784F">
        <w:rPr>
          <w:szCs w:val="24"/>
        </w:rPr>
        <w:t xml:space="preserve">The Road to </w:t>
      </w:r>
      <w:r w:rsidR="00330938">
        <w:rPr>
          <w:szCs w:val="24"/>
        </w:rPr>
        <w:t>the CFPB</w:t>
      </w:r>
    </w:p>
    <w:p w14:paraId="1129EAE0" w14:textId="77777777" w:rsidR="00044F9A" w:rsidRPr="0097784F" w:rsidRDefault="00044F9A" w:rsidP="004A4EF6">
      <w:pPr>
        <w:tabs>
          <w:tab w:val="left" w:pos="360"/>
        </w:tabs>
        <w:spacing w:line="240" w:lineRule="auto"/>
        <w:rPr>
          <w:szCs w:val="24"/>
        </w:rPr>
      </w:pPr>
      <w:r w:rsidRPr="0097784F">
        <w:rPr>
          <w:szCs w:val="24"/>
        </w:rPr>
        <w:tab/>
        <w:t xml:space="preserve">The inclusion of what was then called the Consumer Financial Protection Agency in the Obama Administration’s proposal </w:t>
      </w:r>
      <w:r w:rsidRPr="0097784F">
        <w:rPr>
          <w:szCs w:val="24"/>
        </w:rPr>
        <w:lastRenderedPageBreak/>
        <w:t xml:space="preserve">was not inevitable. It began life as a timely article by then-Professor Elizabeth Warren in the liberal magazine, </w:t>
      </w:r>
      <w:r w:rsidRPr="0097784F">
        <w:rPr>
          <w:i/>
          <w:szCs w:val="24"/>
        </w:rPr>
        <w:t>Democracy</w:t>
      </w:r>
      <w:r w:rsidRPr="0097784F">
        <w:rPr>
          <w:szCs w:val="24"/>
        </w:rPr>
        <w:t xml:space="preserve">. In that article—cleverly entitled “Unsafe at Any Rate,” a play on Ralph Nader’s 1965 book on auto safety, </w:t>
      </w:r>
      <w:r w:rsidRPr="0097784F">
        <w:rPr>
          <w:i/>
          <w:szCs w:val="24"/>
        </w:rPr>
        <w:t>Unsafe at Any Speed</w:t>
      </w:r>
      <w:r w:rsidRPr="0097784F">
        <w:rPr>
          <w:szCs w:val="24"/>
        </w:rPr>
        <w:t>—Warren compared the purchase of destructive credit instruments to the highly regulated market for home appliances. “It is impossible to buy a toaster that has a one-in-five chance of bursting into flames and burning down your house,” she wrote. “But it is possible to refinance an existing home with a mortgage that has the same one-in-five chance of putting the family out on the street.”</w:t>
      </w:r>
      <w:r w:rsidRPr="0097784F">
        <w:rPr>
          <w:szCs w:val="24"/>
          <w:vertAlign w:val="superscript"/>
        </w:rPr>
        <w:footnoteReference w:id="220"/>
      </w:r>
      <w:r w:rsidRPr="0097784F">
        <w:rPr>
          <w:szCs w:val="24"/>
        </w:rPr>
        <w:t xml:space="preserve"> Warren proposed a supervisory and regulatory solution to this problem, modeled on the way we tackled toaster safety. She would create a “Financial Product Safety Commission,” similar to the Consumer Product Safety Commission, a multi-member, bipartisan administrative agency that supervised and approved institutions and products aimed at busy consumers who may lack the time or sophistication to independently verify the safety of those financial products they purchased.  </w:t>
      </w:r>
    </w:p>
    <w:p w14:paraId="10244847" w14:textId="5A569278" w:rsidR="00044F9A" w:rsidRPr="0097784F" w:rsidRDefault="004905FA" w:rsidP="004A4EF6">
      <w:pPr>
        <w:tabs>
          <w:tab w:val="left" w:pos="360"/>
        </w:tabs>
        <w:spacing w:line="240" w:lineRule="auto"/>
        <w:rPr>
          <w:szCs w:val="24"/>
        </w:rPr>
      </w:pPr>
      <w:r w:rsidRPr="0097784F">
        <w:rPr>
          <w:szCs w:val="24"/>
        </w:rPr>
        <w:tab/>
      </w:r>
      <w:r w:rsidR="00044F9A" w:rsidRPr="0097784F">
        <w:rPr>
          <w:szCs w:val="24"/>
        </w:rPr>
        <w:t>Warren wrote as what was then called the Subprime Mortgage Crisis was engulfing the nation; it was not yet the global financial crisis, and the idea more or less stayed among academics and activists. (She rewrote the proposal with a co-author as a law review article shortly thereafter.)</w:t>
      </w:r>
      <w:r w:rsidR="00044F9A" w:rsidRPr="0097784F">
        <w:rPr>
          <w:szCs w:val="24"/>
          <w:vertAlign w:val="superscript"/>
        </w:rPr>
        <w:footnoteReference w:id="221"/>
      </w:r>
      <w:r w:rsidR="00044F9A" w:rsidRPr="0097784F">
        <w:rPr>
          <w:szCs w:val="24"/>
        </w:rPr>
        <w:t xml:space="preserve"> After the crisis reached full bloom in September 2008, Warren received another opportunity to put her mark on the debates around banking and supervision. As part of TARP, Congress included a Congressional Oversight Panel as a layer of accountability. The idea was to make sure this unprecedented deployment of the public fisc carried with it appropriate transparency and accountability. The Panel’s authority was limited: no subpoena powers, no access to unofficial information or data. As Warren put it in her memoir, “We could politely invite people to testify . . . and they could politely decline (or impolitely, if they preferred).”</w:t>
      </w:r>
      <w:r w:rsidR="00044F9A" w:rsidRPr="0097784F">
        <w:rPr>
          <w:szCs w:val="24"/>
          <w:vertAlign w:val="superscript"/>
        </w:rPr>
        <w:footnoteReference w:id="222"/>
      </w:r>
      <w:r w:rsidR="00044F9A" w:rsidRPr="0097784F">
        <w:rPr>
          <w:szCs w:val="24"/>
        </w:rPr>
        <w:t xml:space="preserve"> The only really formal requirement was to hold hearings (if they could get witnesses) and release reports, which they were expected to do monthly. </w:t>
      </w:r>
    </w:p>
    <w:p w14:paraId="2F1083DC" w14:textId="67DE47FD" w:rsidR="00330938" w:rsidRPr="0097784F" w:rsidRDefault="004905FA" w:rsidP="004A4EF6">
      <w:pPr>
        <w:tabs>
          <w:tab w:val="left" w:pos="360"/>
        </w:tabs>
        <w:spacing w:line="240" w:lineRule="auto"/>
        <w:rPr>
          <w:szCs w:val="24"/>
        </w:rPr>
      </w:pPr>
      <w:r w:rsidRPr="0097784F">
        <w:rPr>
          <w:szCs w:val="24"/>
        </w:rPr>
        <w:lastRenderedPageBreak/>
        <w:tab/>
      </w:r>
      <w:r w:rsidR="00044F9A" w:rsidRPr="0097784F">
        <w:rPr>
          <w:szCs w:val="24"/>
        </w:rPr>
        <w:t>Despite these limitations, it was enough to put Warren in the spotlight and give her the platform not only to do her job on the Congressional Oversight Panel but also to work Washington to promote the idea of what would quickly morph into the Consumer Financial Protection Agency. The financial industry was on the ropes from the still smoldering crisis, to be sure. The first major legislative battle in the post-crisis (excluding TARP) was a credit card reform package that the industry opposed: it sailed through the House and Senate.</w:t>
      </w:r>
      <w:r w:rsidR="00044F9A" w:rsidRPr="0097784F">
        <w:rPr>
          <w:szCs w:val="24"/>
          <w:vertAlign w:val="superscript"/>
        </w:rPr>
        <w:footnoteReference w:id="223"/>
      </w:r>
      <w:r w:rsidR="00044F9A" w:rsidRPr="0097784F">
        <w:rPr>
          <w:szCs w:val="24"/>
        </w:rPr>
        <w:t xml:space="preserve"> But the creation of a new federal agency devoted to policing the highly profitable businesses of consumer finance was another matter altogether. </w:t>
      </w:r>
    </w:p>
    <w:p w14:paraId="187EFBF7" w14:textId="52CAA7CB" w:rsidR="00044F9A" w:rsidRPr="0097784F" w:rsidRDefault="004905FA" w:rsidP="004A4EF6">
      <w:pPr>
        <w:tabs>
          <w:tab w:val="left" w:pos="360"/>
        </w:tabs>
        <w:spacing w:line="240" w:lineRule="auto"/>
        <w:rPr>
          <w:szCs w:val="24"/>
        </w:rPr>
      </w:pPr>
      <w:r w:rsidRPr="0097784F">
        <w:rPr>
          <w:szCs w:val="24"/>
        </w:rPr>
        <w:tab/>
      </w:r>
      <w:r w:rsidR="00044F9A" w:rsidRPr="0097784F">
        <w:rPr>
          <w:szCs w:val="24"/>
        </w:rPr>
        <w:t>Warren had the benefit of a key supporter: Barack H. Obama. In an appearance on The Tonight Show with Jay Leno, the president essentially quoted the first sentences of Warren’s article from two years before:</w:t>
      </w:r>
    </w:p>
    <w:p w14:paraId="5A94E1B6" w14:textId="4393E81E" w:rsidR="00044F9A" w:rsidRPr="0097784F" w:rsidRDefault="004905FA" w:rsidP="004A4EF6">
      <w:pPr>
        <w:tabs>
          <w:tab w:val="left" w:pos="360"/>
        </w:tabs>
        <w:spacing w:line="240" w:lineRule="auto"/>
        <w:rPr>
          <w:szCs w:val="24"/>
        </w:rPr>
      </w:pPr>
      <w:r w:rsidRPr="0097784F">
        <w:rPr>
          <w:szCs w:val="24"/>
        </w:rPr>
        <w:tab/>
      </w:r>
      <w:r w:rsidR="00044F9A" w:rsidRPr="0097784F">
        <w:rPr>
          <w:szCs w:val="24"/>
        </w:rPr>
        <w:t>When you buy a toaster, if it explodes in your face—there’s a law that says your toasters need to be safe. But when you get a credit card, or you get a mortgage, there’s no law on the books that says if that explodes in your face financially, somehow you’re going to be protected.</w:t>
      </w:r>
      <w:r w:rsidR="00044F9A" w:rsidRPr="0097784F">
        <w:rPr>
          <w:szCs w:val="24"/>
          <w:vertAlign w:val="superscript"/>
        </w:rPr>
        <w:footnoteReference w:id="224"/>
      </w:r>
      <w:r w:rsidR="00044F9A" w:rsidRPr="0097784F">
        <w:rPr>
          <w:szCs w:val="24"/>
        </w:rPr>
        <w:t xml:space="preserve">  </w:t>
      </w:r>
    </w:p>
    <w:p w14:paraId="1CA3D8B0" w14:textId="77777777" w:rsidR="00044F9A" w:rsidRPr="0097784F" w:rsidRDefault="00044F9A" w:rsidP="004A4EF6">
      <w:pPr>
        <w:tabs>
          <w:tab w:val="left" w:pos="360"/>
        </w:tabs>
        <w:spacing w:line="240" w:lineRule="auto"/>
        <w:rPr>
          <w:szCs w:val="24"/>
        </w:rPr>
      </w:pPr>
      <w:r w:rsidRPr="0097784F">
        <w:rPr>
          <w:szCs w:val="24"/>
        </w:rPr>
        <w:tab/>
        <w:t xml:space="preserve">As with the efforts to take a more aggressive posture toward the big banks, however, it seemed that even this support was not enough, at least initially. Even Geithner, initially cool to the idea that financial reform should be focused on anything other than systemic risk—he didn’t regard the aggressive tactics against consumers as central to the crisis—was convinced. </w:t>
      </w:r>
    </w:p>
    <w:p w14:paraId="54BC9C0C" w14:textId="77777777" w:rsidR="00044F9A" w:rsidRPr="0097784F" w:rsidRDefault="00044F9A" w:rsidP="004A4EF6">
      <w:pPr>
        <w:tabs>
          <w:tab w:val="left" w:pos="360"/>
        </w:tabs>
        <w:spacing w:line="240" w:lineRule="auto"/>
        <w:rPr>
          <w:szCs w:val="24"/>
        </w:rPr>
      </w:pPr>
      <w:r w:rsidRPr="0097784F">
        <w:rPr>
          <w:szCs w:val="24"/>
        </w:rPr>
        <w:tab/>
        <w:t xml:space="preserve">Getting through the congressional process was a separate matter. Both Barney Frank, the Democratic representative in the House of Representatives who would shepherd the bill through passage in that chamber, and Chris Dodd, his counterpart in the Senate, were broadly supportive of the inclusion of a new consumer agency. Republicans were nearly uniformly opposed. It became the central fight in the passage of Dodd-Frank. </w:t>
      </w:r>
    </w:p>
    <w:p w14:paraId="075251B0" w14:textId="5E707300" w:rsidR="00044F9A" w:rsidRPr="0097784F" w:rsidRDefault="00044F9A" w:rsidP="004A4EF6">
      <w:pPr>
        <w:tabs>
          <w:tab w:val="left" w:pos="360"/>
        </w:tabs>
        <w:spacing w:line="240" w:lineRule="auto"/>
        <w:rPr>
          <w:szCs w:val="24"/>
        </w:rPr>
      </w:pPr>
      <w:r w:rsidRPr="0097784F">
        <w:rPr>
          <w:szCs w:val="24"/>
        </w:rPr>
        <w:tab/>
        <w:t xml:space="preserve">The problem for the Republicans—besides a desire to deprive Democrats and the Obama Administration from another legislative victory, following the successful if close passage of </w:t>
      </w:r>
      <w:r w:rsidRPr="0097784F">
        <w:rPr>
          <w:szCs w:val="24"/>
        </w:rPr>
        <w:lastRenderedPageBreak/>
        <w:t xml:space="preserve">health care reform in March 2010, just four months before Dodd-Frank’s passage—was the very existence of a new regulator. Sometimes these concerns became </w:t>
      </w:r>
      <w:r w:rsidRPr="0097784F">
        <w:rPr>
          <w:i/>
          <w:szCs w:val="24"/>
        </w:rPr>
        <w:t xml:space="preserve">very </w:t>
      </w:r>
      <w:r w:rsidRPr="0097784F">
        <w:rPr>
          <w:szCs w:val="24"/>
        </w:rPr>
        <w:t>specific. Olympia Snowe, a centrist Republican from Maine, expressed concern about the agency because, as summarized by the Wall Street Journal, the new agency “could harm Maine’s lobstermen and innkeepers” who depended on “customized financing for the seasonal businesses, which take the form of home-equity lines of credit that allow for low payments in the off-season.”</w:t>
      </w:r>
      <w:r w:rsidRPr="0097784F">
        <w:rPr>
          <w:szCs w:val="24"/>
          <w:vertAlign w:val="superscript"/>
        </w:rPr>
        <w:footnoteReference w:id="225"/>
      </w:r>
      <w:r w:rsidRPr="0097784F">
        <w:rPr>
          <w:szCs w:val="24"/>
        </w:rPr>
        <w:t xml:space="preserve"> If the CFPA (as it was then known) was given the authority to supervise every entity that provided consumer finance, then these seasonal businesses could be hurt.</w:t>
      </w:r>
      <w:bookmarkStart w:id="12" w:name="_Hlk519021370"/>
      <w:r w:rsidRPr="0097784F">
        <w:rPr>
          <w:szCs w:val="24"/>
        </w:rPr>
        <w:tab/>
        <w:t xml:space="preserve"> </w:t>
      </w:r>
    </w:p>
    <w:p w14:paraId="41F4F473" w14:textId="0C394815" w:rsidR="00CB4763" w:rsidRPr="00CB4763" w:rsidRDefault="00044F9A" w:rsidP="0003382B">
      <w:pPr>
        <w:tabs>
          <w:tab w:val="left" w:pos="360"/>
        </w:tabs>
        <w:spacing w:line="240" w:lineRule="auto"/>
        <w:rPr>
          <w:szCs w:val="24"/>
          <w:highlight w:val="yellow"/>
        </w:rPr>
      </w:pPr>
      <w:r w:rsidRPr="0097784F">
        <w:rPr>
          <w:szCs w:val="24"/>
        </w:rPr>
        <w:tab/>
        <w:t>Another concern was more structural. The House version of the bill had created a consumer agency modeled on other commissions. It would be a bipartisan, multimember commission, similar to the SEC, with five members appointed by the President and confirmed by the Senate, only three of whom could be from the same party.</w:t>
      </w:r>
      <w:r w:rsidRPr="0097784F">
        <w:rPr>
          <w:szCs w:val="24"/>
          <w:vertAlign w:val="superscript"/>
        </w:rPr>
        <w:footnoteReference w:id="226"/>
      </w:r>
      <w:r w:rsidRPr="0097784F">
        <w:rPr>
          <w:szCs w:val="24"/>
        </w:rPr>
        <w:t xml:space="preserve"> The institution of a new agency devoted to managing the financial contracts of all kinds of companies caused widespread criticism. A Republican compromise, suggested by Bob Corker of Tennessee, would call the agency a “bureau of the Federal Reserve,” give it a Director rather than a political commission, and grant it autonomy within the Fed. Other Republicans initially seemed open to the idea, and Democrats didn’t have strong preferences. Although Republicans almost universally abandoned the final version of the bill, their version of the Consumer Financial Protection Bureau survived.</w:t>
      </w:r>
      <w:r w:rsidRPr="0097784F">
        <w:rPr>
          <w:szCs w:val="24"/>
          <w:vertAlign w:val="superscript"/>
        </w:rPr>
        <w:footnoteReference w:id="227"/>
      </w:r>
      <w:r w:rsidRPr="0097784F">
        <w:rPr>
          <w:szCs w:val="24"/>
        </w:rPr>
        <w:t xml:space="preserve"> The Republican origins of this structure were all but forgotten in the subsequent rejection of the bureau, as Republicans saw the bureau/director structure as an unconstitutional power grab by Democrats.</w:t>
      </w:r>
      <w:r w:rsidRPr="0097784F">
        <w:rPr>
          <w:szCs w:val="24"/>
          <w:vertAlign w:val="superscript"/>
        </w:rPr>
        <w:footnoteReference w:id="228"/>
      </w:r>
      <w:r w:rsidR="0003382B" w:rsidRPr="00CB4763">
        <w:rPr>
          <w:szCs w:val="24"/>
          <w:highlight w:val="yellow"/>
        </w:rPr>
        <w:t xml:space="preserve"> </w:t>
      </w:r>
    </w:p>
    <w:p w14:paraId="67D09BF5" w14:textId="77777777" w:rsidR="0003382B" w:rsidRDefault="0003382B" w:rsidP="004A4EF6">
      <w:pPr>
        <w:tabs>
          <w:tab w:val="left" w:pos="360"/>
        </w:tabs>
        <w:spacing w:line="240" w:lineRule="auto"/>
        <w:rPr>
          <w:szCs w:val="24"/>
        </w:rPr>
      </w:pPr>
    </w:p>
    <w:p w14:paraId="5C2F7CEB" w14:textId="77777777" w:rsidR="0003382B" w:rsidRDefault="00044F9A" w:rsidP="004A4EF6">
      <w:pPr>
        <w:tabs>
          <w:tab w:val="left" w:pos="360"/>
        </w:tabs>
        <w:spacing w:line="240" w:lineRule="auto"/>
        <w:rPr>
          <w:szCs w:val="24"/>
        </w:rPr>
      </w:pPr>
      <w:r w:rsidRPr="0097784F">
        <w:rPr>
          <w:szCs w:val="24"/>
        </w:rPr>
        <w:tab/>
      </w:r>
      <w:bookmarkEnd w:id="12"/>
    </w:p>
    <w:p w14:paraId="3B04E35E" w14:textId="24D83856" w:rsidR="00044F9A" w:rsidRPr="0097784F" w:rsidRDefault="0003382B" w:rsidP="004A4EF6">
      <w:pPr>
        <w:tabs>
          <w:tab w:val="left" w:pos="360"/>
        </w:tabs>
        <w:spacing w:line="240" w:lineRule="auto"/>
        <w:rPr>
          <w:szCs w:val="24"/>
        </w:rPr>
      </w:pPr>
      <w:r>
        <w:rPr>
          <w:szCs w:val="24"/>
        </w:rPr>
        <w:lastRenderedPageBreak/>
        <w:tab/>
      </w:r>
      <w:r w:rsidR="00044F9A" w:rsidRPr="0097784F">
        <w:rPr>
          <w:szCs w:val="24"/>
        </w:rPr>
        <w:t xml:space="preserve">While the CFPB occupied much of the public’s attention during these debates, the question of supervisory consolidation also continued. As mentioned, both the Paulson Blueprint and the Geithner White Paper advocated for supervisory consolidation. Frank’s bill in the House of Representatives did not: he saw the question as a political non-starter. </w:t>
      </w:r>
    </w:p>
    <w:p w14:paraId="459367E3" w14:textId="77777777" w:rsidR="00044F9A" w:rsidRPr="0097784F" w:rsidRDefault="00044F9A" w:rsidP="004A4EF6">
      <w:pPr>
        <w:tabs>
          <w:tab w:val="left" w:pos="360"/>
        </w:tabs>
        <w:spacing w:line="240" w:lineRule="auto"/>
        <w:rPr>
          <w:szCs w:val="24"/>
        </w:rPr>
      </w:pPr>
      <w:r w:rsidRPr="0097784F">
        <w:rPr>
          <w:szCs w:val="24"/>
        </w:rPr>
        <w:tab/>
        <w:t xml:space="preserve">But Chris Dodd saw the current situation as untenable, and particularly wanted to see the Fed lose essentially all of its supervisory authority to focus exclusively on monetary policy. Bernanke responded. In a public letter written in a muscular, advocational style, Bernanke laid out “The Public Policy Case for a Role for the Federal Reserve in Bank Supervision and Regulation.” Regulation wasn’t really a discussion on the table—no one was then advocating stripping the Fed of its regulatory authority. The question was, given the many supervisory failures that had occurred in the lead up to the financial crisis, whether the Fed should continue as a primary banking supervisor. </w:t>
      </w:r>
    </w:p>
    <w:p w14:paraId="43054808" w14:textId="77777777" w:rsidR="00044F9A" w:rsidRPr="0097784F" w:rsidRDefault="00044F9A" w:rsidP="004A4EF6">
      <w:pPr>
        <w:tabs>
          <w:tab w:val="left" w:pos="360"/>
        </w:tabs>
        <w:spacing w:line="240" w:lineRule="auto"/>
        <w:rPr>
          <w:szCs w:val="24"/>
        </w:rPr>
      </w:pPr>
      <w:r w:rsidRPr="0097784F">
        <w:rPr>
          <w:szCs w:val="24"/>
        </w:rPr>
        <w:tab/>
        <w:t>Bernanke saw “two broad sets of benefits to the country” for having the nation’s central bank be a primary banking supervisor. First, as the crisis had just revealed, supervision wasn’t just an institutional affair: there had to be supervisory oversight over the “financial system as a whole,” informed by supervision of each institution. “As a result of its central banking responsibilities,” Bernanke argued, “the Federal Reserve possesses expertise in those areas that is unmatched in government and that would be difficult and costly for another agency to replicate.”</w:t>
      </w:r>
      <w:r w:rsidRPr="0097784F">
        <w:rPr>
          <w:szCs w:val="24"/>
          <w:vertAlign w:val="superscript"/>
        </w:rPr>
        <w:footnoteReference w:id="229"/>
      </w:r>
      <w:r w:rsidRPr="0097784F">
        <w:rPr>
          <w:szCs w:val="24"/>
        </w:rPr>
        <w:t xml:space="preserve"> An uncharitable reading of this defense would say that because the Fed had been in charge of supervision of large, complex firms for so long, it was the best agency to continue doing it. A more charitable reading is that supervision is hard and important; switching agencies wouldn’t be obviously beneficial.</w:t>
      </w:r>
    </w:p>
    <w:p w14:paraId="3CA92935" w14:textId="77777777" w:rsidR="00044F9A" w:rsidRPr="0097784F" w:rsidRDefault="00044F9A" w:rsidP="004A4EF6">
      <w:pPr>
        <w:tabs>
          <w:tab w:val="left" w:pos="360"/>
        </w:tabs>
        <w:spacing w:line="240" w:lineRule="auto"/>
        <w:rPr>
          <w:szCs w:val="24"/>
        </w:rPr>
      </w:pPr>
      <w:r w:rsidRPr="0097784F">
        <w:rPr>
          <w:szCs w:val="24"/>
        </w:rPr>
        <w:tab/>
        <w:t xml:space="preserve">Second, Bernanke argued that central banks </w:t>
      </w:r>
      <w:r w:rsidRPr="0097784F">
        <w:rPr>
          <w:i/>
          <w:szCs w:val="24"/>
        </w:rPr>
        <w:t xml:space="preserve">need </w:t>
      </w:r>
      <w:r w:rsidRPr="0097784F">
        <w:rPr>
          <w:szCs w:val="24"/>
        </w:rPr>
        <w:t xml:space="preserve">supervision to be effective at their primary functions. “Most importantly,” he wrote, “The Federal Reserve’s ability to effectively address actual </w:t>
      </w:r>
      <w:r w:rsidRPr="0097784F">
        <w:rPr>
          <w:szCs w:val="24"/>
        </w:rPr>
        <w:lastRenderedPageBreak/>
        <w:t>and potential financial crises depends critically on the information, expertise, and powers that it gains by virtue of being both a bank supervisor and a central bank.”</w:t>
      </w:r>
      <w:r w:rsidRPr="0097784F">
        <w:rPr>
          <w:szCs w:val="24"/>
          <w:vertAlign w:val="superscript"/>
        </w:rPr>
        <w:footnoteReference w:id="230"/>
      </w:r>
      <w:r w:rsidRPr="0097784F">
        <w:rPr>
          <w:szCs w:val="24"/>
        </w:rPr>
        <w:t xml:space="preserve"> The crisis itself, Bernanke argued, would have been substantially worse if the Fed lacked that supervisory window into the internal affairs of the banks that teetered on the brink of collapse. </w:t>
      </w:r>
    </w:p>
    <w:p w14:paraId="409EA8FA" w14:textId="77777777" w:rsidR="00044F9A" w:rsidRPr="0097784F" w:rsidRDefault="00044F9A" w:rsidP="004A4EF6">
      <w:pPr>
        <w:tabs>
          <w:tab w:val="left" w:pos="360"/>
        </w:tabs>
        <w:spacing w:line="240" w:lineRule="auto"/>
        <w:rPr>
          <w:szCs w:val="24"/>
        </w:rPr>
      </w:pPr>
      <w:r w:rsidRPr="0097784F">
        <w:rPr>
          <w:szCs w:val="24"/>
        </w:rPr>
        <w:tab/>
        <w:t>Bernanke’s arguments are difficult to read as anything other than a bureaucratic turf protector. The arguments fly in the face of practical experience. A contemporaneous study by the World Bank revealed that out of 194 countries analyzed, less than 10% combined supervisory and central banking functions: the Fed is thus an outlier. And second, the bulk of the crisis and the bulk of the Fed’s own interventions occurred where there was no Fed supervisory authority at all: Lehman Brothers, Bear Stearns, nonbank mortgage lenders, money market funds, AIG, and on and on.</w:t>
      </w:r>
    </w:p>
    <w:p w14:paraId="21C546AE" w14:textId="77777777" w:rsidR="00044F9A" w:rsidRPr="0097784F" w:rsidRDefault="00044F9A" w:rsidP="004A4EF6">
      <w:pPr>
        <w:tabs>
          <w:tab w:val="left" w:pos="360"/>
        </w:tabs>
        <w:spacing w:line="240" w:lineRule="auto"/>
        <w:rPr>
          <w:szCs w:val="24"/>
        </w:rPr>
      </w:pPr>
      <w:r w:rsidRPr="0097784F">
        <w:rPr>
          <w:szCs w:val="24"/>
        </w:rPr>
        <w:tab/>
        <w:t xml:space="preserve">Dodd’s staff made quick work of these assertions. In a previously undisclosed memo written to Dodd in response to Bernanke’s letter, they noted that “[s]upervisory power is not the only means for information gathering.” Indeed, under the contemporaneous version of the Dodd bill, the Fed would have even more information-gathering power, including through mandatory disclosures and enhanced authority over the payment system. Supervision, they argued, is not just about information collation. </w:t>
      </w:r>
    </w:p>
    <w:p w14:paraId="28353C1B" w14:textId="77777777" w:rsidR="00044F9A" w:rsidRPr="0097784F" w:rsidRDefault="00044F9A" w:rsidP="004A4EF6">
      <w:pPr>
        <w:tabs>
          <w:tab w:val="left" w:pos="360"/>
        </w:tabs>
        <w:spacing w:line="240" w:lineRule="auto"/>
        <w:rPr>
          <w:szCs w:val="24"/>
        </w:rPr>
      </w:pPr>
      <w:r w:rsidRPr="0097784F">
        <w:rPr>
          <w:szCs w:val="24"/>
        </w:rPr>
        <w:tab/>
        <w:t xml:space="preserve">To the idea that supervision helps the Fed formulate monetary policy—Bernanke had discussed, for example, the monetary easing of the 1990s informed by bank loan losses collected through supervision—the staff noted again that there is more than one way to skin this particular cat. The basic argument to reducing the Fed’s supervisory presence is that monetary policy and supervision are in tension with each other. “Although it has supervisory responsibilities,” they wrote, “the Fed’s primary interest is monetary policy.” Because large, complex financial institutions are the means for effectuating monetary policy, there arises a conflict of interest: the Fed is likelier to bail out large </w:t>
      </w:r>
      <w:r w:rsidRPr="0097784F">
        <w:rPr>
          <w:szCs w:val="24"/>
        </w:rPr>
        <w:lastRenderedPageBreak/>
        <w:t>institutions in a small panic because of the importance of these institutions to effective monetary policy.</w:t>
      </w:r>
      <w:r w:rsidRPr="0097784F">
        <w:rPr>
          <w:szCs w:val="24"/>
          <w:vertAlign w:val="superscript"/>
        </w:rPr>
        <w:footnoteReference w:id="231"/>
      </w:r>
    </w:p>
    <w:p w14:paraId="1D4FA8CF" w14:textId="77777777" w:rsidR="00044F9A" w:rsidRPr="0097784F" w:rsidRDefault="00044F9A" w:rsidP="004A4EF6">
      <w:pPr>
        <w:tabs>
          <w:tab w:val="left" w:pos="360"/>
        </w:tabs>
        <w:spacing w:line="240" w:lineRule="auto"/>
        <w:rPr>
          <w:szCs w:val="24"/>
        </w:rPr>
      </w:pPr>
      <w:r w:rsidRPr="0097784F">
        <w:rPr>
          <w:szCs w:val="24"/>
        </w:rPr>
        <w:tab/>
        <w:t>Dodd pressed forward, but with a compromise. The Fed would lose all its supervisory authority over small banks, but would remain as the supervisor for the nation’s largest banks. (This compromise came not simply because Bernanke insisted on it. In a rare intervention in the legislative process, President Obama himself told Dodd that the Fed needed to retain some supervisory authority over the largest banks.)</w:t>
      </w:r>
      <w:r w:rsidRPr="0097784F">
        <w:rPr>
          <w:szCs w:val="24"/>
          <w:vertAlign w:val="superscript"/>
        </w:rPr>
        <w:footnoteReference w:id="232"/>
      </w:r>
      <w:r w:rsidRPr="0097784F">
        <w:rPr>
          <w:szCs w:val="24"/>
        </w:rPr>
        <w:t xml:space="preserve"> In early March 2010, the </w:t>
      </w:r>
      <w:r w:rsidRPr="0097784F">
        <w:rPr>
          <w:i/>
          <w:szCs w:val="24"/>
        </w:rPr>
        <w:t xml:space="preserve">New York Times </w:t>
      </w:r>
      <w:r w:rsidRPr="0097784F">
        <w:rPr>
          <w:szCs w:val="24"/>
        </w:rPr>
        <w:t>reported that the Senate Banking Committee, led by Dodd, had “reached a tentative consensus on a plan that would strip the Federal Reserve of regulatory [sic] powers over all but the very largest banks, those with more than $100 billion in assets.”</w:t>
      </w:r>
      <w:r w:rsidRPr="0097784F">
        <w:rPr>
          <w:szCs w:val="24"/>
          <w:vertAlign w:val="superscript"/>
        </w:rPr>
        <w:footnoteReference w:id="233"/>
      </w:r>
      <w:r w:rsidRPr="0097784F">
        <w:rPr>
          <w:szCs w:val="24"/>
        </w:rPr>
        <w:t xml:space="preserve"> The move would have reduced the Fed’s supervisory authority from over 5,000 financial institutions to just 23. </w:t>
      </w:r>
    </w:p>
    <w:p w14:paraId="140BCE3D" w14:textId="1AF8B79F" w:rsidR="00044F9A" w:rsidRPr="0097784F" w:rsidRDefault="004905FA" w:rsidP="004A4EF6">
      <w:pPr>
        <w:tabs>
          <w:tab w:val="left" w:pos="360"/>
        </w:tabs>
        <w:spacing w:line="240" w:lineRule="auto"/>
        <w:rPr>
          <w:szCs w:val="24"/>
        </w:rPr>
      </w:pPr>
      <w:r w:rsidRPr="0097784F">
        <w:rPr>
          <w:szCs w:val="24"/>
        </w:rPr>
        <w:tab/>
      </w:r>
      <w:r w:rsidR="00044F9A" w:rsidRPr="0097784F">
        <w:rPr>
          <w:szCs w:val="24"/>
        </w:rPr>
        <w:t>The Fed was unhappy with even this compromise. Fed insiders shot back and increased pressure, primarily through Republicans and the White House, to roll back this proposal. Fed insiders pitched this as explicitly about the Fed’s ability to stay grounded in “Main Street,” not “Wall Street.” In testimony before the House Financial Services Committee, Bernanke explained his concerns: “We are quite concerned by proposals to make the Fed a regulator [sic] only of the biggest banks,” he said. “It makes us essentially the ‘too big to fail’ regulator. We don’t want that responsibility. We want to have a connection to Main Street as well as to Wall Street.” Thomas Hoenig, then president of the Federal Reserve Bank of Kansas City, made the point with even more rhetorical flourish: “It’s not the central bank of Wall Street,” he said. “It’s the central bank of the United States. Let’s not forget that.”</w:t>
      </w:r>
      <w:r w:rsidR="00044F9A" w:rsidRPr="0097784F">
        <w:rPr>
          <w:szCs w:val="24"/>
          <w:vertAlign w:val="superscript"/>
        </w:rPr>
        <w:footnoteReference w:id="234"/>
      </w:r>
      <w:r w:rsidR="00044F9A" w:rsidRPr="0097784F">
        <w:rPr>
          <w:szCs w:val="24"/>
        </w:rPr>
        <w:t xml:space="preserve"> </w:t>
      </w:r>
    </w:p>
    <w:p w14:paraId="23F3C71D" w14:textId="52A90276" w:rsidR="00044F9A" w:rsidRPr="0097784F" w:rsidRDefault="004905FA" w:rsidP="004A4EF6">
      <w:pPr>
        <w:tabs>
          <w:tab w:val="left" w:pos="360"/>
        </w:tabs>
        <w:spacing w:line="240" w:lineRule="auto"/>
        <w:rPr>
          <w:szCs w:val="24"/>
        </w:rPr>
      </w:pPr>
      <w:r w:rsidRPr="0097784F">
        <w:rPr>
          <w:szCs w:val="24"/>
        </w:rPr>
        <w:lastRenderedPageBreak/>
        <w:tab/>
      </w:r>
      <w:r w:rsidR="00044F9A" w:rsidRPr="0097784F">
        <w:rPr>
          <w:szCs w:val="24"/>
        </w:rPr>
        <w:t>In U.S. history, the timing for a supervisory consolidation had perhaps never been better. The Reserve Banks had long had among the most impressive groups of advocates. This was largely due to their quasi-private status: each Reserve Bank had a private board of directors consisting of local influential citizens. These citizens could become an active group of lobbyists to the members of Congress when their authority was in jeopardy, something we have seen throughout this history. But those arguments weren’t as persuasive as they once had been. Republicans like Bob Corker from Tennessee or Spencer Bachus from Alabama were unmoved by the Reserve Banks’ insistence on their importance and relevance. “They like their marble buildings and they like their stature and they like their relevance,” Corker told a journalists about the Reserve Banks. More circumspectly, Bachus had come to the conclusion that supervision and monetary policy were incompatible policy goals. “It seems that when the Fed is responsible for monetary policy and bank supervision, its performance in both suffers.”</w:t>
      </w:r>
    </w:p>
    <w:p w14:paraId="5A2A6BEA" w14:textId="77777777" w:rsidR="00044F9A" w:rsidRPr="0097784F" w:rsidRDefault="00044F9A" w:rsidP="004A4EF6">
      <w:pPr>
        <w:tabs>
          <w:tab w:val="left" w:pos="360"/>
        </w:tabs>
        <w:spacing w:line="240" w:lineRule="auto"/>
        <w:rPr>
          <w:szCs w:val="24"/>
        </w:rPr>
      </w:pPr>
      <w:r w:rsidRPr="0097784F">
        <w:rPr>
          <w:szCs w:val="24"/>
        </w:rPr>
        <w:tab/>
        <w:t xml:space="preserve">When the bill was voted out of committee, a compromise was reached between Bernanke and Dodd: the Fed would lose supervisory authority for most banks, but retain it for the largest bank holding companies with an asset threshold set at $50 billion instead of $100 billion. But those who thought the political moment would yield that supervisory consolidation pushed by a dozen administrations hadn’t yet reckoned with the awesome power of the Reserve Bank presidents. </w:t>
      </w:r>
    </w:p>
    <w:p w14:paraId="287ADBAE" w14:textId="77777777" w:rsidR="00044F9A" w:rsidRPr="0097784F" w:rsidRDefault="00044F9A" w:rsidP="004A4EF6">
      <w:pPr>
        <w:tabs>
          <w:tab w:val="left" w:pos="360"/>
        </w:tabs>
        <w:spacing w:line="240" w:lineRule="auto"/>
        <w:rPr>
          <w:szCs w:val="24"/>
        </w:rPr>
      </w:pPr>
      <w:r w:rsidRPr="0097784F">
        <w:rPr>
          <w:szCs w:val="24"/>
        </w:rPr>
        <w:tab/>
        <w:t>The presidents launched a full-scale effort to walk back the compromise supported by the Fed’s Board of Governors. Lobbying seems the appropriate label, but neither the presidents nor the Senators characterized it as such. “They’ve done a good job of educating without lobbying,” is the way Senator Claire McCaskill put it. “A lot of members of Congress were not as informed as they should have been about what the Federal Reserve is and how it works.”</w:t>
      </w:r>
      <w:r w:rsidRPr="0097784F">
        <w:rPr>
          <w:szCs w:val="24"/>
          <w:vertAlign w:val="superscript"/>
        </w:rPr>
        <w:footnoteReference w:id="235"/>
      </w:r>
      <w:r w:rsidRPr="0097784F">
        <w:rPr>
          <w:szCs w:val="24"/>
        </w:rPr>
        <w:t xml:space="preserve"> </w:t>
      </w:r>
    </w:p>
    <w:p w14:paraId="0C4A7CBA" w14:textId="77777777" w:rsidR="00044F9A" w:rsidRPr="0097784F" w:rsidRDefault="00044F9A" w:rsidP="004A4EF6">
      <w:pPr>
        <w:tabs>
          <w:tab w:val="left" w:pos="360"/>
        </w:tabs>
        <w:spacing w:line="240" w:lineRule="auto"/>
        <w:rPr>
          <w:szCs w:val="24"/>
        </w:rPr>
      </w:pPr>
      <w:r w:rsidRPr="0097784F">
        <w:rPr>
          <w:szCs w:val="24"/>
        </w:rPr>
        <w:tab/>
        <w:t xml:space="preserve">At the center of this effort was Thomas Hoenig, then president of the Federal Reserve Bank of Kansas City and eventually a prominent voice in favor of stiffer bank supervision from his </w:t>
      </w:r>
      <w:r w:rsidRPr="0097784F">
        <w:rPr>
          <w:szCs w:val="24"/>
        </w:rPr>
        <w:lastRenderedPageBreak/>
        <w:t xml:space="preserve">perch at the Fed and, later, as Vice Chairman of the FDIC. Hoenig grew up professionally in Kansas City and took a strongly regional focus on supervision. He was unusual, perhaps unique, in Fed history as a Reserve Bank president who came up professionally as a bank supervisor rather than as a pure research macroeconomist. Hoenig not only had a strong view on good supervisory practices, but on the differences between expertise on supervision and other kinds of expertise within the central bank. “I love monetary economists . . . [and] macroeconomists,” he explained in an oral history, “but they are not knowledgeable about the inner workings of a bank or how to lend.” That information only comes from examiners in the field, far from the center of policymaking. In Hoenig’s mind, the difference between the Reserve Banks and the Board of Governors </w:t>
      </w:r>
      <w:r w:rsidRPr="0097784F">
        <w:rPr>
          <w:i/>
          <w:szCs w:val="24"/>
        </w:rPr>
        <w:t xml:space="preserve">was </w:t>
      </w:r>
      <w:r w:rsidRPr="0097784F">
        <w:rPr>
          <w:szCs w:val="24"/>
        </w:rPr>
        <w:t xml:space="preserve">the difference between regulation and supervision. “If you are going to provide liquidity, you have to have knowledge,” he said. “If you are going to have knowledge, you have to have people that know how to collect it.” Those people weren’t just “sit[ting] behind a terminal somewhere,” but would be field examiners who lived in the Reserve Banks.  </w:t>
      </w:r>
    </w:p>
    <w:p w14:paraId="209FAF3C" w14:textId="77777777" w:rsidR="00044F9A" w:rsidRPr="0097784F" w:rsidRDefault="00044F9A" w:rsidP="004A4EF6">
      <w:pPr>
        <w:tabs>
          <w:tab w:val="left" w:pos="360"/>
        </w:tabs>
        <w:spacing w:line="240" w:lineRule="auto"/>
        <w:rPr>
          <w:szCs w:val="24"/>
        </w:rPr>
      </w:pPr>
      <w:r w:rsidRPr="0097784F">
        <w:rPr>
          <w:szCs w:val="24"/>
        </w:rPr>
        <w:tab/>
        <w:t>Hoenig led the effort of the Reserve Bank presidents to bypass the Board of Governors and make his case directly to the Congress. This was an education campaign, in his view, not lobbying. “I’ve never lobbied,” he said. “I always informed.”</w:t>
      </w:r>
      <w:r w:rsidRPr="0097784F">
        <w:rPr>
          <w:szCs w:val="24"/>
          <w:vertAlign w:val="superscript"/>
        </w:rPr>
        <w:footnoteReference w:id="236"/>
      </w:r>
      <w:r w:rsidRPr="0097784F">
        <w:rPr>
          <w:szCs w:val="24"/>
        </w:rPr>
        <w:t xml:space="preserve"> He told the Board of Governors that he would be traveling to Washington to take these meetings, but didn’t seek permission or forgiveness. He also invited other Reserve Bank presidents to do the same, and some did. But Hoenig deserves the credit for making his case to the Congress, and not only to members. “I am not proud,” he said, explaining that he would speak to members, staff, or anyone else who needed to know why the Reserve Banks needed to keep their supervisory role. </w:t>
      </w:r>
    </w:p>
    <w:p w14:paraId="29124519" w14:textId="77777777" w:rsidR="00044F9A" w:rsidRPr="0097784F" w:rsidRDefault="00044F9A" w:rsidP="004A4EF6">
      <w:pPr>
        <w:tabs>
          <w:tab w:val="left" w:pos="360"/>
        </w:tabs>
        <w:spacing w:line="240" w:lineRule="auto"/>
        <w:rPr>
          <w:szCs w:val="24"/>
        </w:rPr>
      </w:pPr>
      <w:r w:rsidRPr="0097784F">
        <w:rPr>
          <w:szCs w:val="24"/>
        </w:rPr>
        <w:tab/>
        <w:t>The amendment to restore the Fed’s full supervisory authority passed 90-9, with one abstention. The Reserve Banks had, once again, protected their right to participate in bank supervision.</w:t>
      </w:r>
    </w:p>
    <w:p w14:paraId="1CD462A2" w14:textId="38D04F72" w:rsidR="00044F9A" w:rsidRPr="0097784F" w:rsidRDefault="00044F9A" w:rsidP="004A4EF6">
      <w:pPr>
        <w:tabs>
          <w:tab w:val="left" w:pos="360"/>
        </w:tabs>
        <w:spacing w:line="240" w:lineRule="auto"/>
        <w:rPr>
          <w:szCs w:val="24"/>
        </w:rPr>
      </w:pPr>
      <w:r w:rsidRPr="0097784F">
        <w:rPr>
          <w:b/>
          <w:szCs w:val="24"/>
        </w:rPr>
        <w:tab/>
      </w:r>
      <w:r w:rsidRPr="0097784F">
        <w:rPr>
          <w:szCs w:val="24"/>
        </w:rPr>
        <w:t xml:space="preserve">As the stress tests unrolled in the public and the Administration’s focus stayed fixed on the megabanks, the community </w:t>
      </w:r>
      <w:r w:rsidRPr="0097784F">
        <w:rPr>
          <w:szCs w:val="24"/>
        </w:rPr>
        <w:lastRenderedPageBreak/>
        <w:t>banks—by far the more numerous in the nation, even as their overall proportion of bank assets dwindled leading up to the crisis—weren’t pleased.  In March 2009, Bernanke and Bair both attended the annual convention of the Independent Community Bankers of America, the formidable industry group representing “community banks,” a loose category that is as politically useful as it is difficult to define.</w:t>
      </w:r>
      <w:r w:rsidRPr="0097784F">
        <w:rPr>
          <w:rStyle w:val="FootnoteReference"/>
          <w:rFonts w:ascii="Garamond" w:hAnsi="Garamond"/>
          <w:szCs w:val="24"/>
        </w:rPr>
        <w:footnoteReference w:id="237"/>
      </w:r>
      <w:r w:rsidRPr="0097784F">
        <w:rPr>
          <w:szCs w:val="24"/>
        </w:rPr>
        <w:t xml:space="preserve"> At the ICBA’s annual meeting in 2009 in Phoenix, “some bankers joked that Ms. Bair and other FDIC officials at the conference ought to wear bulletproof vests.”</w:t>
      </w:r>
      <w:r w:rsidRPr="0097784F">
        <w:rPr>
          <w:rStyle w:val="FootnoteReference"/>
          <w:rFonts w:ascii="Garamond" w:hAnsi="Garamond"/>
          <w:szCs w:val="24"/>
        </w:rPr>
        <w:footnoteReference w:id="238"/>
      </w:r>
      <w:r w:rsidRPr="0097784F">
        <w:rPr>
          <w:szCs w:val="24"/>
        </w:rPr>
        <w:t xml:space="preserve"> Their ire was irked because few of the community banks expanded into the exotica that characterized the financial crisis, including the relatively benign subprime mortgages. Because of the megabanks’ failures, the Deposit Insurance Fund was so massively underfunded that Bair had to adjust their annual contributions, the premiums needed to fund the government’s deposit insurance. The failed banks like Citigroup—despite its lack of a resolution—was another bogeyman for the community bankers. The megabanks “have tarred and feathered us,” said one community banker. Ironically, given Bair’s efforts to make Citigroup pay for its failures, she became associated with Citi in the minds of these bankers. As she discusses at length in her memoir, and no one has contradicted her, her view of Citi differed fundamentally from Treasury: where Geithner’s Treasury was “anxious to make good on Citi’s too-big-to-fail status,” Bair wanted the stakeholders to share the pain.</w:t>
      </w:r>
      <w:r w:rsidRPr="0097784F">
        <w:rPr>
          <w:rStyle w:val="FootnoteReference"/>
          <w:rFonts w:ascii="Garamond" w:hAnsi="Garamond"/>
          <w:szCs w:val="24"/>
        </w:rPr>
        <w:footnoteReference w:id="239"/>
      </w:r>
      <w:r w:rsidRPr="0097784F">
        <w:rPr>
          <w:szCs w:val="24"/>
        </w:rPr>
        <w:t xml:space="preserve"> </w:t>
      </w:r>
    </w:p>
    <w:p w14:paraId="1AD8B333" w14:textId="77777777" w:rsidR="00044F9A" w:rsidRPr="0097784F" w:rsidRDefault="00044F9A" w:rsidP="004A4EF6">
      <w:pPr>
        <w:tabs>
          <w:tab w:val="left" w:pos="360"/>
        </w:tabs>
        <w:spacing w:line="240" w:lineRule="auto"/>
        <w:rPr>
          <w:szCs w:val="24"/>
        </w:rPr>
      </w:pPr>
      <w:r w:rsidRPr="0097784F">
        <w:rPr>
          <w:szCs w:val="24"/>
        </w:rPr>
        <w:tab/>
        <w:t xml:space="preserve">That meeting also highlighted another tension. Bernanke won immediate plaudits for his crisis fighting and was greeted by a standing ovation. Bair, on the other hand, “got lukewarm applause” as she ventured to explain and defend herself. By the speech’s conclusion, which included rousing scorn for the megabanks and need to “get these institutions to downsize,” skeptics were more convinced. “She does recognize the difference between the too-big-to-fail banks and the community banks,” said </w:t>
      </w:r>
      <w:r w:rsidRPr="0097784F">
        <w:rPr>
          <w:szCs w:val="24"/>
        </w:rPr>
        <w:lastRenderedPageBreak/>
        <w:t xml:space="preserve">one community banker in attendance. </w:t>
      </w:r>
      <w:r w:rsidRPr="0097784F">
        <w:rPr>
          <w:rStyle w:val="FootnoteReference"/>
          <w:rFonts w:ascii="Garamond" w:hAnsi="Garamond"/>
          <w:szCs w:val="24"/>
        </w:rPr>
        <w:footnoteReference w:id="240"/>
      </w:r>
      <w:r w:rsidRPr="0097784F">
        <w:rPr>
          <w:szCs w:val="24"/>
        </w:rPr>
        <w:t xml:space="preserve"> These kinds of reactions illustrated the difficulty that the different bank supervisors endured as they defended different kinds of approaches to their bank supervision. </w:t>
      </w:r>
    </w:p>
    <w:p w14:paraId="065F76E9" w14:textId="77777777" w:rsidR="00044F9A" w:rsidRPr="0097784F" w:rsidRDefault="00044F9A" w:rsidP="004A4EF6">
      <w:pPr>
        <w:tabs>
          <w:tab w:val="left" w:pos="360"/>
        </w:tabs>
        <w:spacing w:line="240" w:lineRule="auto"/>
        <w:rPr>
          <w:szCs w:val="24"/>
        </w:rPr>
      </w:pPr>
      <w:r w:rsidRPr="0097784F">
        <w:rPr>
          <w:szCs w:val="24"/>
        </w:rPr>
        <w:tab/>
        <w:t>In part motivated by the FDIC’s image, in part to make sure that her vision of what bank supervision must be post-crisis, Bair set up her own efforts to convince Congress to adopt her approach to reforming the financial system. One of the key problems that the crisis exposed was what has come to be known as the “macroprudential supervisory” problem. Macroprudential supervision comes between the individual institutional supervision that had characterized bank supervision since the Civil War and the broader, system-wide efforts to regulate and legislate problems throughout the system. Macroprudential supervision still relates to the epistemology of supervision—it is about governmental interaction with private firms. It’s just about gathering information on how multiple institutions relate to each other. As Ben Bernanke put it in 2009, “an approach to supervision that focuses narrowly on individual institutions can miss broader problems that are building up in the system.”</w:t>
      </w:r>
      <w:r w:rsidRPr="0097784F">
        <w:rPr>
          <w:rStyle w:val="FootnoteReference"/>
          <w:rFonts w:ascii="Garamond" w:hAnsi="Garamond"/>
          <w:szCs w:val="24"/>
        </w:rPr>
        <w:footnoteReference w:id="241"/>
      </w:r>
    </w:p>
    <w:p w14:paraId="176171C8" w14:textId="77777777" w:rsidR="00044F9A" w:rsidRPr="0097784F" w:rsidRDefault="00044F9A" w:rsidP="004A4EF6">
      <w:pPr>
        <w:tabs>
          <w:tab w:val="left" w:pos="360"/>
        </w:tabs>
        <w:spacing w:line="240" w:lineRule="auto"/>
        <w:rPr>
          <w:szCs w:val="24"/>
        </w:rPr>
      </w:pPr>
      <w:r w:rsidRPr="0097784F">
        <w:rPr>
          <w:szCs w:val="24"/>
        </w:rPr>
        <w:tab/>
        <w:t>The problem of macroprudential supervision. The “growing consensus, though not a universal one” according to David Wessel writing in May 2009, “is the Fed.” The idea would be that the Fed already had responsibility for supervising the bank holding  companies, a category recently expanded by the death of the old investment banking model. But Sheila Bair had a different idea. The Fed would approach its supervisory responsibilities in its idiosyncratic way, which could lead to a repeat of the supervisory pathologies preceding the crisis. By Bair’s account, then, Congress needed to “differentiate between the agency that supervised the large, systemic entities”—what had been supervision, now rebranded microprudential supervision—“from the entity that would have the power to say which institutions were systemic and write rules that would address systemic risk.”</w:t>
      </w:r>
      <w:r w:rsidRPr="0097784F">
        <w:rPr>
          <w:rStyle w:val="FootnoteReference"/>
          <w:rFonts w:ascii="Garamond" w:hAnsi="Garamond"/>
          <w:szCs w:val="24"/>
        </w:rPr>
        <w:footnoteReference w:id="242"/>
      </w:r>
    </w:p>
    <w:p w14:paraId="1056D4C9" w14:textId="77777777" w:rsidR="00044F9A" w:rsidRPr="0097784F" w:rsidRDefault="00044F9A" w:rsidP="004A4EF6">
      <w:pPr>
        <w:tabs>
          <w:tab w:val="left" w:pos="360"/>
        </w:tabs>
        <w:spacing w:line="240" w:lineRule="auto"/>
        <w:rPr>
          <w:szCs w:val="24"/>
        </w:rPr>
      </w:pPr>
      <w:r w:rsidRPr="0097784F">
        <w:rPr>
          <w:szCs w:val="24"/>
        </w:rPr>
        <w:lastRenderedPageBreak/>
        <w:tab/>
        <w:t>Somewhat surprisingly, Bair favored the Fed, “with all its shortcomings,” in its continued role as bank holding company supervisor.  The other options weren’t attractive. The SEC had failed spectacularly in its supervisory role; the OCC was too narrow; and the FDIC itself wasn’t the best fit either. “Having both resolution authority and [primary] supervisory powers over large  financial institutions was, [she] feared, too much for the agency to bite off.” Instead, Bair proposed that the FDIC take backup supervisory authority over the largest institutions—something it already had for the operating banks within bank holding companies. But the bigger issue, and one that came to define her lobbying around Dodd-Frank, was for “an independent council of regulators, chaired by a presidentially appointed head” to take on the task of macroprudential supervision and systemic risk regulation. A council like this would have the authority not only to identify the next AIG and its ilk, but also bring other financial supervisors and regulators into line when they were growing too lax in the face of systemic risk. In her vision of the council, for example, it could have “been able to step in and write mortgage-lending standards when the Fed failed to act” in the early 2000s.</w:t>
      </w:r>
      <w:r w:rsidRPr="0097784F">
        <w:rPr>
          <w:rStyle w:val="FootnoteReference"/>
          <w:rFonts w:ascii="Garamond" w:hAnsi="Garamond"/>
          <w:szCs w:val="24"/>
        </w:rPr>
        <w:footnoteReference w:id="243"/>
      </w:r>
      <w:r w:rsidRPr="0097784F">
        <w:rPr>
          <w:szCs w:val="24"/>
        </w:rPr>
        <w:t xml:space="preserve"> </w:t>
      </w:r>
    </w:p>
    <w:p w14:paraId="650B758B" w14:textId="76F79FBF" w:rsidR="00CB4763" w:rsidRDefault="00044F9A" w:rsidP="004A4EF6">
      <w:pPr>
        <w:tabs>
          <w:tab w:val="left" w:pos="360"/>
        </w:tabs>
        <w:spacing w:line="240" w:lineRule="auto"/>
        <w:rPr>
          <w:szCs w:val="24"/>
        </w:rPr>
      </w:pPr>
      <w:r w:rsidRPr="0097784F">
        <w:rPr>
          <w:szCs w:val="24"/>
        </w:rPr>
        <w:tab/>
        <w:t>Geithner thought the idea terrible. “Sheila Bair was especially aggressive in trying to clip the Fed’s wings and expand the FDIC’s authority, arguing that if the FDIC was going to be stuck taking on the risks of resolving big banks after they failed, it needed a bigger role overseeing them before they failed,” he wrote a few years later. He thought her lobbying “relentless and effective,” especially on the “crusade” to get her council. “This view got a lot of traction on the Hill,” Geithner wrote later, “but I saw the council as a way to avoid any centralized accountability.”</w:t>
      </w:r>
      <w:r w:rsidRPr="0097784F">
        <w:rPr>
          <w:rStyle w:val="FootnoteReference"/>
          <w:rFonts w:ascii="Garamond" w:hAnsi="Garamond"/>
          <w:szCs w:val="24"/>
        </w:rPr>
        <w:footnoteReference w:id="244"/>
      </w:r>
      <w:r w:rsidRPr="0097784F">
        <w:rPr>
          <w:szCs w:val="24"/>
        </w:rPr>
        <w:t xml:space="preserve"> So confident was he that this silly idea—which he charac</w:t>
      </w:r>
      <w:r w:rsidRPr="0097784F">
        <w:rPr>
          <w:szCs w:val="24"/>
        </w:rPr>
        <w:lastRenderedPageBreak/>
        <w:t>terized as “convening a committee to put out a fire” in congressional testimony</w:t>
      </w:r>
      <w:r w:rsidRPr="0097784F">
        <w:rPr>
          <w:rStyle w:val="FootnoteReference"/>
          <w:rFonts w:ascii="Garamond" w:hAnsi="Garamond"/>
          <w:szCs w:val="24"/>
        </w:rPr>
        <w:footnoteReference w:id="245"/>
      </w:r>
      <w:r w:rsidRPr="0097784F">
        <w:rPr>
          <w:szCs w:val="24"/>
        </w:rPr>
        <w:t>—that he spoke up in a meeting with banking executives: “There isn’t going to be any fucking council.”</w:t>
      </w:r>
      <w:r w:rsidR="00CE71D3">
        <w:rPr>
          <w:rStyle w:val="FootnoteReference"/>
          <w:szCs w:val="24"/>
        </w:rPr>
        <w:footnoteReference w:id="246"/>
      </w:r>
    </w:p>
    <w:p w14:paraId="5887043C" w14:textId="398CCC92" w:rsidR="00044F9A" w:rsidRPr="0097784F" w:rsidRDefault="00CB4763" w:rsidP="004A4EF6">
      <w:pPr>
        <w:tabs>
          <w:tab w:val="left" w:pos="360"/>
        </w:tabs>
        <w:spacing w:line="240" w:lineRule="auto"/>
        <w:rPr>
          <w:szCs w:val="24"/>
        </w:rPr>
      </w:pPr>
      <w:r>
        <w:rPr>
          <w:szCs w:val="24"/>
        </w:rPr>
        <w:tab/>
      </w:r>
      <w:r w:rsidR="00044F9A" w:rsidRPr="0097784F">
        <w:rPr>
          <w:szCs w:val="24"/>
        </w:rPr>
        <w:t xml:space="preserve">Bair and others had different ideas. Whatever the surface-level harmony that these supervisors and the administration displayed at times, Geithner’s hostility to Bair and others who would not get in line spilled into public view. Because the Obama Administration had focused on health care as its first administrative priority, the passion behind financial reform—a passion that had led to one of the largest reforms of credit card laws in decades, for example—had started to slow. Industry could organize in opposition to the Administration’s white paper and financial supervisors, wary of encroachments on their turf, were engaged in backdoor lobbying at Congress. And not just Bair—the Fed, the CFTC, the SEC, and many others were similarly engaged. </w:t>
      </w:r>
    </w:p>
    <w:p w14:paraId="4EBA506E" w14:textId="3E04EC15" w:rsidR="00044F9A" w:rsidRPr="0097784F" w:rsidRDefault="00044F9A" w:rsidP="004A4EF6">
      <w:pPr>
        <w:tabs>
          <w:tab w:val="left" w:pos="360"/>
        </w:tabs>
        <w:spacing w:line="240" w:lineRule="auto"/>
        <w:rPr>
          <w:szCs w:val="24"/>
        </w:rPr>
      </w:pPr>
      <w:r w:rsidRPr="0097784F">
        <w:rPr>
          <w:szCs w:val="24"/>
        </w:rPr>
        <w:tab/>
        <w:t>In August 2009, Geithner summoned financial regulators to his office to berate them for their lack of unity with the Administration’s priorities. He took particular aim at the idea that a council, as supported by Bair and the SEC’s new chair, Mary Shapiro, should shoulder more macroprudential supervisory burden.  Bair had already testified before the Senate Banking Committee that she had reservations about this approach, in July 2009. “You are talking about tremendous regulatory power being invested in whatever this entity is going to be,”  she said. “And I think, in terms of checks and balances, it</w:t>
      </w:r>
      <w:r w:rsidR="003951B4">
        <w:rPr>
          <w:szCs w:val="24"/>
        </w:rPr>
        <w:t>’</w:t>
      </w:r>
      <w:r w:rsidRPr="0097784F">
        <w:rPr>
          <w:szCs w:val="24"/>
        </w:rPr>
        <w:t>s also helpful to have multiple views being expressed and coming to a consensus.”</w:t>
      </w:r>
      <w:r w:rsidRPr="0097784F">
        <w:rPr>
          <w:rStyle w:val="FootnoteReference"/>
          <w:rFonts w:ascii="Garamond" w:hAnsi="Garamond"/>
          <w:szCs w:val="24"/>
        </w:rPr>
        <w:footnoteReference w:id="247"/>
      </w:r>
    </w:p>
    <w:p w14:paraId="5CAC759C" w14:textId="77777777" w:rsidR="00044F9A" w:rsidRPr="0097784F" w:rsidRDefault="00044F9A" w:rsidP="004A4EF6">
      <w:pPr>
        <w:tabs>
          <w:tab w:val="left" w:pos="360"/>
        </w:tabs>
        <w:spacing w:line="240" w:lineRule="auto"/>
        <w:rPr>
          <w:szCs w:val="24"/>
        </w:rPr>
      </w:pPr>
      <w:r w:rsidRPr="0097784F">
        <w:rPr>
          <w:szCs w:val="24"/>
        </w:rPr>
        <w:tab/>
        <w:t xml:space="preserve">At this point, though, the existential debate about the FSOC had been won by Bair and the others who had pushed it. Not only had Frank put the FSOC into the House legislation, but the Administration’s own proposal had embraced the idea of a council of regulators engaged in macroprudential supervision. The question was only how the council would interact with the Fed. </w:t>
      </w:r>
    </w:p>
    <w:p w14:paraId="5F28BFDB" w14:textId="77777777" w:rsidR="00044F9A" w:rsidRPr="0097784F" w:rsidRDefault="00044F9A" w:rsidP="004A4EF6">
      <w:pPr>
        <w:tabs>
          <w:tab w:val="left" w:pos="360"/>
        </w:tabs>
        <w:spacing w:line="240" w:lineRule="auto"/>
        <w:rPr>
          <w:szCs w:val="24"/>
        </w:rPr>
      </w:pPr>
      <w:r w:rsidRPr="0097784F">
        <w:rPr>
          <w:szCs w:val="24"/>
        </w:rPr>
        <w:lastRenderedPageBreak/>
        <w:tab/>
        <w:t xml:space="preserve">Bair wasn’t only interested in the council of supervisors, though. She was also interested in giving the FDIC a much larger role in participating in the supervision of large institutions </w:t>
      </w:r>
      <w:r w:rsidRPr="0097784F">
        <w:rPr>
          <w:i/>
          <w:szCs w:val="24"/>
        </w:rPr>
        <w:t xml:space="preserve">before </w:t>
      </w:r>
      <w:r w:rsidRPr="0097784F">
        <w:rPr>
          <w:szCs w:val="24"/>
        </w:rPr>
        <w:t>they threatened the entire system. Geithner and others opposed this effort, too, seeing it as a threat to the potential success of the overall legislative package. Bair wasn’t appeased: “The FDIC is scrappy, we always have to fight to be heard,” Bair told the Wall Street Journal.</w:t>
      </w:r>
      <w:r w:rsidRPr="0097784F">
        <w:rPr>
          <w:rStyle w:val="FootnoteReference"/>
          <w:rFonts w:ascii="Garamond" w:hAnsi="Garamond"/>
          <w:szCs w:val="24"/>
        </w:rPr>
        <w:footnoteReference w:id="248"/>
      </w:r>
      <w:r w:rsidRPr="0097784F">
        <w:rPr>
          <w:szCs w:val="24"/>
        </w:rPr>
        <w:t xml:space="preserve"> </w:t>
      </w:r>
    </w:p>
    <w:p w14:paraId="39551AC3" w14:textId="77777777" w:rsidR="00044F9A" w:rsidRPr="0097784F" w:rsidRDefault="00044F9A" w:rsidP="004A4EF6">
      <w:pPr>
        <w:tabs>
          <w:tab w:val="left" w:pos="360"/>
        </w:tabs>
        <w:spacing w:line="240" w:lineRule="auto"/>
        <w:rPr>
          <w:szCs w:val="24"/>
        </w:rPr>
      </w:pPr>
      <w:r w:rsidRPr="0097784F">
        <w:rPr>
          <w:szCs w:val="24"/>
        </w:rPr>
        <w:tab/>
        <w:t xml:space="preserve">Finally, the FDIC continued to put its imprint on the legislative reform efforts in making its key supervisory tool—the threat and effect of resolution—the default expectation for large banks as well as small. In April 2009, Bair made her pitch to the Economic Club of New York, in favor of reforming the law to have an orderly liquidation for the largest banks. </w:t>
      </w:r>
    </w:p>
    <w:p w14:paraId="10F07B64" w14:textId="2A849571" w:rsidR="00044F9A" w:rsidRPr="0097784F" w:rsidRDefault="004905FA" w:rsidP="004905FA">
      <w:pPr>
        <w:tabs>
          <w:tab w:val="left" w:pos="360"/>
        </w:tabs>
        <w:spacing w:line="240" w:lineRule="auto"/>
        <w:rPr>
          <w:szCs w:val="24"/>
        </w:rPr>
      </w:pPr>
      <w:r w:rsidRPr="0097784F">
        <w:rPr>
          <w:szCs w:val="24"/>
        </w:rPr>
        <w:tab/>
      </w:r>
      <w:r w:rsidR="00044F9A" w:rsidRPr="0097784F">
        <w:rPr>
          <w:szCs w:val="24"/>
        </w:rPr>
        <w:t>It was the first time an FDIC Chair had ever been invited to speak in that august forum, something. In the speech, the FDIC noted its two “credos” that guided the FDIC throughout its history: First, “No depositor should ever lose a penny of insured deposits (and none ever has).” And second, “failed banks should be closed expeditiously” with a “minimum of disruption, their financial assets quickly sold back into private hands, and the losses first absorbed by their shareholders and creditors to maintain market discipline.”</w:t>
      </w:r>
      <w:r w:rsidR="00044F9A" w:rsidRPr="0097784F">
        <w:rPr>
          <w:rStyle w:val="FootnoteReference"/>
          <w:rFonts w:ascii="Garamond" w:hAnsi="Garamond"/>
          <w:szCs w:val="24"/>
        </w:rPr>
        <w:footnoteReference w:id="249"/>
      </w:r>
    </w:p>
    <w:p w14:paraId="74BA68EB" w14:textId="77777777" w:rsidR="00044F9A" w:rsidRPr="0097784F" w:rsidRDefault="00044F9A" w:rsidP="004A4EF6">
      <w:pPr>
        <w:tabs>
          <w:tab w:val="left" w:pos="360"/>
        </w:tabs>
        <w:spacing w:line="240" w:lineRule="auto"/>
        <w:rPr>
          <w:szCs w:val="24"/>
        </w:rPr>
      </w:pPr>
      <w:r w:rsidRPr="0097784F">
        <w:rPr>
          <w:szCs w:val="24"/>
        </w:rPr>
        <w:tab/>
        <w:t xml:space="preserve">The problem wasn’t that that method of resolving financial risk was faulty; it was that “vast changes in how credit is provided and in the types of firms which provide financial intermediation” had made it so that the model of focusing financial risk on depositary institutions no longer made sense. In place of the commercial banks that formed the backbone of lending in America in the postwar era, so-called “shadow banks” took their place. The FDIC was an agency—a government corporation, technically—designed to protect the government’s commitment to commercial deposits. No deposits, no FDIC, and that meant that resolution was subject to whatever the government could scramble to put together in the moment of crisis. In other words, </w:t>
      </w:r>
      <w:r w:rsidRPr="0097784F">
        <w:rPr>
          <w:szCs w:val="24"/>
        </w:rPr>
        <w:lastRenderedPageBreak/>
        <w:t>bailouts. This failure to provide a process for FDIC-style resolution was a key weakness in the pre-crisis supervisory framework, Bair argued. The stakes were high, in Bair’s view. “The lack of an effective resolution mechanism for large financial organizations . . . has contributed to unprecedented government intervention into private companies. It has fed the ‘too big to fail’ presumption, which has eroded market discipline for those who invest and lend to very large institutions.” It wasn’t just market participants who suffered as a result. These bailouts gave “rise to public cynicism about the system and anger directed at the government and financial market participants.”</w:t>
      </w:r>
      <w:r w:rsidRPr="0097784F">
        <w:rPr>
          <w:rStyle w:val="FootnoteReference"/>
          <w:rFonts w:ascii="Garamond" w:hAnsi="Garamond"/>
          <w:szCs w:val="24"/>
        </w:rPr>
        <w:footnoteReference w:id="250"/>
      </w:r>
    </w:p>
    <w:p w14:paraId="2E57E50D" w14:textId="77777777" w:rsidR="00044F9A" w:rsidRPr="0097784F" w:rsidRDefault="00044F9A" w:rsidP="004A4EF6">
      <w:pPr>
        <w:tabs>
          <w:tab w:val="left" w:pos="360"/>
        </w:tabs>
        <w:spacing w:line="240" w:lineRule="auto"/>
        <w:rPr>
          <w:szCs w:val="24"/>
        </w:rPr>
      </w:pPr>
      <w:r w:rsidRPr="0097784F">
        <w:rPr>
          <w:szCs w:val="24"/>
        </w:rPr>
        <w:tab/>
        <w:t xml:space="preserve">Resolution for large banks as well as small was the key, Bair thought. The idea was not original with Bair. After Bear Stearns, then Secretary of the Treasury Hank Paulson and Bernanke had approached Barney Frank about the idea of some kind of formal resolution authority in March 2008. It went nowhere. The idea came up again in the Citigroup debates. The idea that Citigroup would pass its stress test—an idea already disputed, as we have seen—was not taken for granted. In the event that the bank was insolvent and needed massively greater capital infusions from TARP, the question was how to manage the government’s risk. There were two options, what Larry Summers had called the “hawk option” and the “dove option.” The hawk option—the one he favored, with the full support of the FDIC—was to do a “rapid resolution exit” that would have pushed Citi through an FDIC resolution. It was seen as the option most likely to appeal to the Administration’s populist supporters. The “dove option” was a conservatorship, similar to the status of Freddie Mac and Fannie Mae. </w:t>
      </w:r>
    </w:p>
    <w:p w14:paraId="7CFAE9ED" w14:textId="77777777" w:rsidR="00044F9A" w:rsidRPr="0097784F" w:rsidRDefault="00044F9A" w:rsidP="004A4EF6">
      <w:pPr>
        <w:tabs>
          <w:tab w:val="left" w:pos="360"/>
        </w:tabs>
        <w:spacing w:line="240" w:lineRule="auto"/>
        <w:rPr>
          <w:szCs w:val="24"/>
        </w:rPr>
      </w:pPr>
      <w:r w:rsidRPr="0097784F">
        <w:rPr>
          <w:szCs w:val="24"/>
        </w:rPr>
        <w:tab/>
        <w:t>Geithner hated the terminology and insisted that his option was no more “dovish” than the other. “You can’t say we’re dove and [Summers] is hawk” in a presentation of these options to President Obama, Geithner yelled through his phone on a transatlantic call. “There’s no dove. You’ve got to make it Hawk One and Hawk Two!” Sometimes terminology is everything in Washington.</w:t>
      </w:r>
      <w:r w:rsidRPr="0097784F">
        <w:rPr>
          <w:rStyle w:val="FootnoteReference"/>
          <w:rFonts w:ascii="Garamond" w:hAnsi="Garamond"/>
          <w:szCs w:val="24"/>
        </w:rPr>
        <w:footnoteReference w:id="251"/>
      </w:r>
      <w:r w:rsidRPr="0097784F">
        <w:rPr>
          <w:szCs w:val="24"/>
        </w:rPr>
        <w:t xml:space="preserve"> </w:t>
      </w:r>
    </w:p>
    <w:p w14:paraId="40ED30DE" w14:textId="77777777" w:rsidR="00044F9A" w:rsidRPr="0097784F" w:rsidRDefault="00044F9A" w:rsidP="004A4EF6">
      <w:pPr>
        <w:tabs>
          <w:tab w:val="left" w:pos="360"/>
        </w:tabs>
        <w:spacing w:line="240" w:lineRule="auto"/>
        <w:rPr>
          <w:szCs w:val="24"/>
        </w:rPr>
      </w:pPr>
      <w:r w:rsidRPr="0097784F">
        <w:rPr>
          <w:szCs w:val="24"/>
        </w:rPr>
        <w:lastRenderedPageBreak/>
        <w:tab/>
        <w:t>The final compromise on resolution looked much like the “compromise” on the Financial Stability Oversigh t Council. It was a compromise in the sense that the FDIC’s view emerged essentially intact. Under the new Dodd-Frank regime, Congress created a new authority—the Orderly Liquidation Authority—with overwhelming bipartisan support (the final vote was 93-5 on this amendment).</w:t>
      </w:r>
      <w:r w:rsidRPr="0097784F">
        <w:rPr>
          <w:rStyle w:val="FootnoteReference"/>
          <w:rFonts w:ascii="Garamond" w:hAnsi="Garamond"/>
          <w:szCs w:val="24"/>
        </w:rPr>
        <w:footnoteReference w:id="252"/>
      </w:r>
      <w:r w:rsidRPr="0097784F">
        <w:rPr>
          <w:szCs w:val="24"/>
        </w:rPr>
        <w:t xml:space="preserve"> Under the new authority, the FDIC would be in the position to resolve any bank holding company and any firm designated “systemically important” by the oversight council. Formerly, it was only depositary institutions—commercial banks and others backed by deposit insurance—could qualify for FDIC resolution. The funding for this kind of massive liquidation would come from those large banks that would now be subject to additional supervision by the FDIC. Unlike the DIF, though, this would not be a prefunded insurance fund, covered by premiums paid by industry. It would be funded in part ahead of time and covered in its entirety after the fact. In the mean time, the Treasury would fund these liquidations. This structure gave rise to the criticism that Dodd-Frank created a permanent bailout fund.</w:t>
      </w:r>
    </w:p>
    <w:p w14:paraId="061418D9" w14:textId="2AE5B60B" w:rsidR="005401EE" w:rsidRDefault="00044F9A" w:rsidP="005401EE">
      <w:pPr>
        <w:tabs>
          <w:tab w:val="left" w:pos="360"/>
        </w:tabs>
        <w:spacing w:line="240" w:lineRule="auto"/>
        <w:rPr>
          <w:szCs w:val="24"/>
        </w:rPr>
      </w:pPr>
      <w:r w:rsidRPr="0097784F">
        <w:rPr>
          <w:szCs w:val="24"/>
        </w:rPr>
        <w:tab/>
        <w:t>There were many winners and losers in the passage of Dodd-Frank. The Office of Thrift Supervision was abolished entirely, making that office the biggest loser. But the Fed also lost some of its key authorities over consumer financial protection, despite its expansion in other important ways. The only clear supervisory winner was the FDIC. For the first time in its 80-year history, it had a new mission: prevent the failure of the entire financial system and not just the idiosyncratic failures of community banks.</w:t>
      </w:r>
      <w:bookmarkStart w:id="13" w:name="_Hlk519711082"/>
    </w:p>
    <w:p w14:paraId="49859F55" w14:textId="233C17CA" w:rsidR="005401EE" w:rsidRDefault="005401EE" w:rsidP="005401EE">
      <w:pPr>
        <w:tabs>
          <w:tab w:val="left" w:pos="360"/>
        </w:tabs>
        <w:spacing w:line="240" w:lineRule="auto"/>
        <w:rPr>
          <w:szCs w:val="24"/>
        </w:rPr>
      </w:pPr>
    </w:p>
    <w:p w14:paraId="53697640" w14:textId="776097EF" w:rsidR="005401EE" w:rsidRDefault="005401EE" w:rsidP="005401EE">
      <w:pPr>
        <w:pStyle w:val="Heading2"/>
      </w:pPr>
      <w:r>
        <w:t>Punctuated Coalitions and Dodd-Frank</w:t>
      </w:r>
    </w:p>
    <w:p w14:paraId="611C72F9" w14:textId="3DEE268D" w:rsidR="005401EE" w:rsidRDefault="005401EE" w:rsidP="005401EE">
      <w:pPr>
        <w:pStyle w:val="MainBody"/>
      </w:pPr>
      <w:r>
        <w:t xml:space="preserve">Dodd-Frank is quintessential crisis legislation. </w:t>
      </w:r>
      <w:r w:rsidR="00904D0E">
        <w:t xml:space="preserve">Given that the financial crisis of 2008 stretched into 2009, the Dodd-Frank Act is </w:t>
      </w:r>
      <w:r>
        <w:t xml:space="preserve">what Conti-Brown and Ohlrogge have called </w:t>
      </w:r>
      <w:r w:rsidR="00904D0E">
        <w:t xml:space="preserve">first-order crisis legislation, meaning, legislation that is passed </w:t>
      </w:r>
      <w:r w:rsidR="00904D0E">
        <w:rPr>
          <w:i/>
        </w:rPr>
        <w:t xml:space="preserve">during </w:t>
      </w:r>
      <w:r w:rsidR="00904D0E">
        <w:t xml:space="preserve">the legislative </w:t>
      </w:r>
      <w:r w:rsidR="00904D0E">
        <w:lastRenderedPageBreak/>
        <w:t xml:space="preserve">session that coincides with the financial crisis. Of the legislation surveyed in this Article, only the Banking Act of 1933 is as close to the crisis. </w:t>
      </w:r>
    </w:p>
    <w:p w14:paraId="7449D5DF" w14:textId="43E53F51" w:rsidR="00904D0E" w:rsidRDefault="00904D0E" w:rsidP="005401EE">
      <w:pPr>
        <w:pStyle w:val="MainBody"/>
      </w:pPr>
      <w:r>
        <w:t xml:space="preserve">But the crisis overreaction hypothesis doesn’t adequately describe the contours of these three ideas and their inclusion in the legislation. The CFPB consolidated mostly preexisting legal authority into a separate agency, rather than truly innovating ideas that existed on the policy entrepreneurs shelf. The FSOC had never been anyone’s idea of the appropriate reaction to financial stability. It was built by a coalition so punctuated that the Council doesn’t even maintain institutional identity less than ten years after its passage. And the efforts to consolidate bank supervision, as we have seen, was nearly a century old when Senator Dodd attempted the effort, before facing a shattering defeat. </w:t>
      </w:r>
    </w:p>
    <w:p w14:paraId="3C3D0C09" w14:textId="640C3E3B" w:rsidR="00904D0E" w:rsidRDefault="00904D0E" w:rsidP="005401EE">
      <w:pPr>
        <w:pStyle w:val="MainBody"/>
      </w:pPr>
      <w:r>
        <w:t xml:space="preserve">What we see instead is that the crisis created a moment. Congress responded. And the policymaking process, rather than activating policy entrepreneurs with preexisting ideas, activated mostly government bureaucrats into a battle for the soul of financial regulation. </w:t>
      </w:r>
    </w:p>
    <w:p w14:paraId="2CE4CEBD" w14:textId="77777777" w:rsidR="00904D0E" w:rsidRDefault="00904D0E" w:rsidP="005401EE">
      <w:pPr>
        <w:pStyle w:val="MainBody"/>
      </w:pPr>
      <w:r>
        <w:t xml:space="preserve">We have seen the heavy hand of government agencies in shaping their legislative fate before, in housing finance and holding companies especially. But the FDIC’s role in emphasizing its own status in the post-2008 financial system, and the Reserve Banks deft maneuvering to defeat an idea whose time had long come, shows just how effective government insiders can be. </w:t>
      </w:r>
    </w:p>
    <w:p w14:paraId="409D3138" w14:textId="77777777" w:rsidR="00904D0E" w:rsidRDefault="00904D0E" w:rsidP="005401EE">
      <w:pPr>
        <w:pStyle w:val="MainBody"/>
      </w:pPr>
      <w:r>
        <w:t xml:space="preserve">The creation of the CFPB is the exception that proves the rule. Here, the crisis overreaction approach is closest to the truth. Given a stage, Elizabeth Warren seized it, and the enduring coalition of liberal activists rallied to their cause. There was nothing punctuated about that coalition—this is the modern American left as it has been since roughly the Great Society. </w:t>
      </w:r>
    </w:p>
    <w:p w14:paraId="44BC5625" w14:textId="43CCC00B" w:rsidR="00904D0E" w:rsidRPr="005401EE" w:rsidRDefault="00904D0E" w:rsidP="005401EE">
      <w:pPr>
        <w:pStyle w:val="MainBody"/>
      </w:pPr>
      <w:r>
        <w:t>But two aspects of the CFPB’s legislative birth are important to consider. First, it is remarkable how very little of Title X of Dodd-Frank—the title that houses the CFPB’s legislation</w:t>
      </w:r>
      <w:r w:rsidR="0024340A">
        <w:t xml:space="preserve">—expands the consumer financial protection laws. This was not a new regime as we have seen in the context of central banking, deposit insurance, housing finance, or </w:t>
      </w:r>
      <w:r w:rsidR="00515800">
        <w:t xml:space="preserve">bank holding companies. Second, the structure of the CFPB was entirely the product of the legislative process. Warren’s first proposal, for a commission, </w:t>
      </w:r>
      <w:r w:rsidR="00515800">
        <w:lastRenderedPageBreak/>
        <w:t xml:space="preserve">looked nothing like the final CFPB. The House bill’s Consumer Financial Protection Agency didn’t either. It is one of the defining ironies of Dodd-Frank that the question that provoked more Republican hostility than any other—the structure of the CFPB—was itself a Republican idea. The coalition that created that idea did not even survive the legislative process, as Senator Corker did not vote in favor of the final legislation. </w:t>
      </w:r>
    </w:p>
    <w:bookmarkEnd w:id="13"/>
    <w:p w14:paraId="6E818791" w14:textId="68DE8C87" w:rsidR="00DF4EF9" w:rsidRPr="0097784F" w:rsidRDefault="00DF4EF9" w:rsidP="00DF4EF9">
      <w:pPr>
        <w:pStyle w:val="Heading1"/>
        <w:spacing w:line="240" w:lineRule="auto"/>
        <w:rPr>
          <w:szCs w:val="24"/>
        </w:rPr>
      </w:pPr>
      <w:r w:rsidRPr="0097784F">
        <w:rPr>
          <w:szCs w:val="24"/>
        </w:rPr>
        <w:t>The Normative Implications of Punctuated Coalitions</w:t>
      </w:r>
    </w:p>
    <w:p w14:paraId="025CFAD1" w14:textId="21EF0166" w:rsidR="00515800" w:rsidRDefault="00515800" w:rsidP="00515800">
      <w:pPr>
        <w:tabs>
          <w:tab w:val="left" w:pos="360"/>
        </w:tabs>
        <w:spacing w:line="240" w:lineRule="auto"/>
        <w:rPr>
          <w:szCs w:val="24"/>
        </w:rPr>
      </w:pPr>
      <w:r>
        <w:rPr>
          <w:szCs w:val="24"/>
        </w:rPr>
        <w:tab/>
        <w:t xml:space="preserve">The legislative theory of punctuated coalitions offers a new way to interpret history. But it is not exclusively historiographic in nature. The fact that legislation exists as a function of temporary coalitions that respond to random events and build on a preexisting institutional structure can and should guide future efforts of reform. In this Part, we briefly explain why most legal reform efforts suffer from failure to appreciate these realities and how reformers—whatever their ideological priors—can benefit from an understanding of punctuated coalitions. We also discuss </w:t>
      </w:r>
      <w:r w:rsidR="00452942">
        <w:rPr>
          <w:szCs w:val="24"/>
        </w:rPr>
        <w:t>three</w:t>
      </w:r>
      <w:r>
        <w:rPr>
          <w:szCs w:val="24"/>
        </w:rPr>
        <w:t xml:space="preserve"> specific </w:t>
      </w:r>
      <w:r w:rsidR="00452942">
        <w:rPr>
          <w:szCs w:val="24"/>
        </w:rPr>
        <w:t>implications</w:t>
      </w:r>
      <w:r>
        <w:rPr>
          <w:szCs w:val="24"/>
        </w:rPr>
        <w:t>:</w:t>
      </w:r>
      <w:r w:rsidR="00452942">
        <w:rPr>
          <w:szCs w:val="24"/>
        </w:rPr>
        <w:t xml:space="preserve"> how scholars should propose to reform legislation when their diagnostic critique is of previous legislative processes,</w:t>
      </w:r>
      <w:r>
        <w:rPr>
          <w:szCs w:val="24"/>
        </w:rPr>
        <w:t xml:space="preserve"> the idea that postcrisis legislation should have a sunset clause, and the question of whether the U.S. has struck the right bargain with respect to financial stability.</w:t>
      </w:r>
      <w:r w:rsidR="00452942">
        <w:rPr>
          <w:szCs w:val="24"/>
        </w:rPr>
        <w:t xml:space="preserve"> We conclude by thinking through why overarching theories of legislation that tether reform to crises or broad, enduring coalitions can shift the landscape of reform away from where legislative action actually occurs.</w:t>
      </w:r>
    </w:p>
    <w:p w14:paraId="50E4A8D6" w14:textId="59E7BD97" w:rsidR="00515800" w:rsidRDefault="006C7EE2" w:rsidP="00515800">
      <w:pPr>
        <w:pStyle w:val="Heading2"/>
      </w:pPr>
      <w:r>
        <w:t xml:space="preserve">Punctuated Coalitions: </w:t>
      </w:r>
      <w:r w:rsidR="00515800">
        <w:t>Inside or Outside the System?</w:t>
      </w:r>
    </w:p>
    <w:p w14:paraId="69DC4B14" w14:textId="77777777" w:rsidR="00041C10" w:rsidRDefault="006C7EE2" w:rsidP="006C7EE2">
      <w:pPr>
        <w:pStyle w:val="MainBody"/>
      </w:pPr>
      <w:r>
        <w:t>In 2013, legal scholars Eric Posner and Adrian Vermeule criticize a ubiquitous tendency in public law whereby scholars identify an incentive structure that afflicts policy actors, and then prescribes some corrective that similarly situated policy actors should adopt.</w:t>
      </w:r>
      <w:r>
        <w:rPr>
          <w:rStyle w:val="FootnoteReference"/>
        </w:rPr>
        <w:footnoteReference w:id="253"/>
      </w:r>
      <w:r>
        <w:t xml:space="preserve"> They identify </w:t>
      </w:r>
      <w:r w:rsidR="00BD5FA1">
        <w:t>this pathology as “the inside/out</w:t>
      </w:r>
      <w:r w:rsidR="00BD5FA1">
        <w:lastRenderedPageBreak/>
        <w:t xml:space="preserve">side fallacy” and regard its use as incoherent. </w:t>
      </w:r>
      <w:r w:rsidR="00B90B54">
        <w:t>“In a typical pattern, the diagnostic sections of a paper draw upon the political science literature to offer deeply pessimistic accounts of the ambitious, partisan, or self-interested motives of relevant actors in the legal system, while the prescriptive sections of the paper then turn around and issue an optimistic proposal for public-spirited solutions.”</w:t>
      </w:r>
      <w:r w:rsidR="00B90B54">
        <w:rPr>
          <w:rStyle w:val="FootnoteReference"/>
        </w:rPr>
        <w:footnoteReference w:id="254"/>
      </w:r>
    </w:p>
    <w:p w14:paraId="0B3AA6EF" w14:textId="77777777" w:rsidR="00041C10" w:rsidRDefault="00041C10" w:rsidP="006C7EE2">
      <w:pPr>
        <w:pStyle w:val="MainBody"/>
      </w:pPr>
      <w:r>
        <w:t xml:space="preserve">Something similar occurs when scholars engage in a historically-informed account of legislation that they view as objectively erroneous. The objective, historical analysis is usually based on an understanding of the connection between rules and consequences that should be empirically justified, theoretically more coherent, or ideologically pure. The legislative process that created the pathologies identified is then deployed to recommend fixes to that system. </w:t>
      </w:r>
    </w:p>
    <w:p w14:paraId="327942F5" w14:textId="542E99A2" w:rsidR="00041C10" w:rsidRDefault="00041C10" w:rsidP="006C7EE2">
      <w:pPr>
        <w:pStyle w:val="MainBody"/>
      </w:pPr>
      <w:r>
        <w:t>Punctuated coalitions attempts to resolve this incoherence. The legislative process is effectively random, or at least is without design. In this sense, we can apply Terry Moe’s aphorism about the institutional design of bureaucracy to legislative processes generally. Legislation, in an important sense, “is not designed to be effective,” but arises “out of politics, and its design reflects the interest, strategies, and compromises of those who exercise political power.”</w:t>
      </w:r>
      <w:r>
        <w:rPr>
          <w:rStyle w:val="FootnoteReference"/>
        </w:rPr>
        <w:footnoteReference w:id="255"/>
      </w:r>
      <w:r>
        <w:t xml:space="preserve"> </w:t>
      </w:r>
    </w:p>
    <w:p w14:paraId="7C398BBA" w14:textId="77777777" w:rsidR="001D7B71" w:rsidRDefault="00041C10" w:rsidP="006C7EE2">
      <w:pPr>
        <w:pStyle w:val="MainBody"/>
      </w:pPr>
      <w:r>
        <w:t>The first normative implication for punctuated coalitions is that legislative reform proposals that criticize past legislative processes should, at the very least, grapple with the legislative process that will effectuate those proposals.</w:t>
      </w:r>
    </w:p>
    <w:p w14:paraId="50474E6B" w14:textId="77777777" w:rsidR="00452942" w:rsidRDefault="001D7B71" w:rsidP="001D7B71">
      <w:pPr>
        <w:pStyle w:val="MainBody"/>
      </w:pPr>
      <w:r>
        <w:t>An important critical example that fails the test of punctuated coalitions is Conti-Brown’s proposal to overhaul the governance structure of the Federal Reserve System to continue the work of Marriner Eccles and further deemphasize the Federal Reserve Banks by abolishing their private-sector status.</w:t>
      </w:r>
      <w:r>
        <w:rPr>
          <w:rStyle w:val="FootnoteReference"/>
        </w:rPr>
        <w:footnoteReference w:id="256"/>
      </w:r>
      <w:r w:rsidR="00452942">
        <w:t xml:space="preserve"> Although the politics of the Federal Reserve System’s design, in both 1913 and 1935, have long since shifted, the political process </w:t>
      </w:r>
      <w:r w:rsidR="00452942">
        <w:lastRenderedPageBreak/>
        <w:t xml:space="preserve">is still subject to the same punctuated coalitions. Conti-Brown’s criticism of the Reserve Banks is based on the notion that political compromises that emphasize private-sector decentralization have been eclipsed by a changing world. But this is not so. As we have seen in the example of the failed effort to consolidate bank supervision in 2010, the power of the Reserve Banks remains formidable, and not corruptly: people throughout the country remain deeply suspicious of government and centralization alike. </w:t>
      </w:r>
    </w:p>
    <w:p w14:paraId="38A8A96B" w14:textId="77777777" w:rsidR="00452942" w:rsidRDefault="00452942" w:rsidP="001D7B71">
      <w:pPr>
        <w:pStyle w:val="MainBody"/>
      </w:pPr>
      <w:r>
        <w:t xml:space="preserve">A better approach to Federal Reserve reform, then, would have to account for a coalitional theory and make an effort to identify plausible coalitions that could arise to navigate reform—even if through temporary coalitions—where earlier efforts have failed. Absent those kinds of approaches, legislative reforms based on criticism of legislative processes should not be taken seriously. </w:t>
      </w:r>
    </w:p>
    <w:p w14:paraId="1626CE74" w14:textId="77777777" w:rsidR="00452942" w:rsidRDefault="00452942" w:rsidP="001D7B71">
      <w:pPr>
        <w:pStyle w:val="MainBody"/>
      </w:pPr>
      <w:r>
        <w:t xml:space="preserve">This is not to say that there is no role for reform efforts that would rethink existing institutional arrangements from the bottom up. Policy entrepreneurs can succeed by engaging in precisely these efforts. The fact that the legislative process will compromise ideas borne of these exercises is not sufficient to defeat the enterprise of intellectual experimentation. But if the proposal is built on a criticism of past legislative efforts in precisely the same field, then more must be done to explain how the same internal dynamics will not apply anew. </w:t>
      </w:r>
    </w:p>
    <w:p w14:paraId="52FCE9F9" w14:textId="6E9FC692" w:rsidR="00452942" w:rsidRDefault="00452942" w:rsidP="00452942">
      <w:pPr>
        <w:pStyle w:val="MainBody"/>
      </w:pPr>
      <w:r>
        <w:t xml:space="preserve">Relatedly, punctuated coalitional theory shows that there are no do-overs in American politics. Institutional change occurs through institutional accretion. This is the cardinal sin of those who would recreate the bank supervisory and regulatory structure, a perennial proposal that generates enthusiasm from dispersed corners each time it is proposed. And yet it continues to fail, again and again. It is therefore appropriate, in light of the punctuated coalitions that push legislative to success, to consider not only legal reform from the bottom up, but legal reform at the institutional margin. </w:t>
      </w:r>
    </w:p>
    <w:p w14:paraId="6EADB50F" w14:textId="6997C16A" w:rsidR="001D7B71" w:rsidRDefault="00452942" w:rsidP="00452942">
      <w:pPr>
        <w:pStyle w:val="Heading2"/>
      </w:pPr>
      <w:r>
        <w:t xml:space="preserve"> Sunset Clauses in Postcrisis Legislation</w:t>
      </w:r>
    </w:p>
    <w:p w14:paraId="7DE40028" w14:textId="24B63046" w:rsidR="00452942" w:rsidRDefault="00452942" w:rsidP="00452942">
      <w:pPr>
        <w:pStyle w:val="MainBody"/>
      </w:pPr>
      <w:r>
        <w:t xml:space="preserve">Roberta Romano has recommended that </w:t>
      </w:r>
      <w:r w:rsidR="00C62840">
        <w:t xml:space="preserve">postcrisis legislation, given the pathologies of haste that she identifies, should carry with it a sunset clause that will permit reevaluation once </w:t>
      </w:r>
      <w:r w:rsidR="00C62840">
        <w:lastRenderedPageBreak/>
        <w:t xml:space="preserve">new information will be generated to test the ideas that have been legislated. </w:t>
      </w:r>
    </w:p>
    <w:p w14:paraId="7C66C3E5" w14:textId="7B2F7BC7" w:rsidR="00C62840" w:rsidRDefault="00C62840" w:rsidP="00452942">
      <w:pPr>
        <w:pStyle w:val="MainBody"/>
      </w:pPr>
      <w:r>
        <w:t xml:space="preserve">There is much about punctuated coalitions that would support this view. Punctuated coalitions are formed in response to some kind of exogenous event, crises very much included. The political process that unfolds is then only loosely tethered to that exogenous event: it then marches forward on its own logic, according to the political compromises that must be made by the temporary coalitions in favor or the anti-coalitions in opposition. In theory, a sunset clause for wholesale reform borne of those dynamics would generate useful information that allowing future legislators the option to evaluate what is worth keeping and what is not. </w:t>
      </w:r>
    </w:p>
    <w:p w14:paraId="67AC88FC" w14:textId="7D29CD6A" w:rsidR="00C62840" w:rsidRDefault="00C62840" w:rsidP="00452942">
      <w:pPr>
        <w:pStyle w:val="MainBody"/>
      </w:pPr>
      <w:r>
        <w:t xml:space="preserve">We have seen several examples of these sunset clauses in this Article, especially in deposit insurance (with a one-year sunset clause) and the Federal Reserve System (with a twenty-year sunset clause, extended in perpetuity in 1927). </w:t>
      </w:r>
    </w:p>
    <w:p w14:paraId="7D09A9A8" w14:textId="1EE00C4C" w:rsidR="00C62840" w:rsidRDefault="00C62840" w:rsidP="00452942">
      <w:pPr>
        <w:pStyle w:val="MainBody"/>
      </w:pPr>
      <w:r>
        <w:t xml:space="preserve">There are two problems with sunset clauses, however. First, most important legislation is not crisis driven, but driven by other kinds of exogenous events. But even if we restrict the proposal to those pieces of legislative that </w:t>
      </w:r>
      <w:r>
        <w:rPr>
          <w:i/>
        </w:rPr>
        <w:t xml:space="preserve">are </w:t>
      </w:r>
      <w:r>
        <w:t xml:space="preserve">crisis driven—the Banking Act of 1933, for example, or Dodd-Frank—that future period of legislative calm where more enduring legislative coalitions will reevaluate their past decisions will never occur. Coalitions are also punctuated. They are always activated by the politics of today. And while history is invoked ubiquitously to justify this or that legislative proposal, it is done strategically. A sunset clause for specific kinds of legislation would only mean that future punctuated coalitions should be in the business of revisiting the ideas of past punctuated coalitions. </w:t>
      </w:r>
    </w:p>
    <w:p w14:paraId="14446F6B" w14:textId="14D8FA8D" w:rsidR="00C62840" w:rsidRDefault="00C62840" w:rsidP="00452942">
      <w:pPr>
        <w:pStyle w:val="MainBody"/>
      </w:pPr>
      <w:r>
        <w:t xml:space="preserve">Even so, there is an appeal about precisely this function. If one views institutional layering as a problem of the political landscape, then permitting each generation to provide a wholesale review of existing institutional structures could be very desirable. </w:t>
      </w:r>
    </w:p>
    <w:p w14:paraId="75DB1C45" w14:textId="31C4D2B3" w:rsidR="00C62840" w:rsidRDefault="00C62840" w:rsidP="00B11B84">
      <w:pPr>
        <w:pStyle w:val="MainBody"/>
      </w:pPr>
      <w:r>
        <w:t xml:space="preserve">It is also suggestive of a political structure that cannot abide the rule of law. If law is to endure long enough to allow political, economic, and social participants to plan their lives, the possibility of a generational reexamination would undermine that security substantially. </w:t>
      </w:r>
    </w:p>
    <w:p w14:paraId="1711A3C5" w14:textId="27E22F78" w:rsidR="00C62840" w:rsidRDefault="00C62840" w:rsidP="00C62840">
      <w:pPr>
        <w:pStyle w:val="Heading2"/>
      </w:pPr>
      <w:r>
        <w:lastRenderedPageBreak/>
        <w:t xml:space="preserve">Financial Stability </w:t>
      </w:r>
      <w:r w:rsidR="0020270F">
        <w:t xml:space="preserve">versus Consumer Financial Protection: </w:t>
      </w:r>
      <w:r>
        <w:t xml:space="preserve">Dodd-Frank’s </w:t>
      </w:r>
      <w:r w:rsidR="0020270F">
        <w:t xml:space="preserve">Successes and </w:t>
      </w:r>
      <w:r>
        <w:t>Failure</w:t>
      </w:r>
      <w:r w:rsidR="0020270F">
        <w:t>s</w:t>
      </w:r>
      <w:r>
        <w:t xml:space="preserve"> </w:t>
      </w:r>
    </w:p>
    <w:p w14:paraId="6BCC1256" w14:textId="17C341DE" w:rsidR="00C62840" w:rsidRDefault="00C62840" w:rsidP="00C62840">
      <w:pPr>
        <w:pStyle w:val="MainBody"/>
      </w:pPr>
      <w:r>
        <w:t xml:space="preserve">Punctuated coalitions in legislative design is largely an invitation to scholars and policy-makers to reexamine the way they think about the process of legislative change. </w:t>
      </w:r>
      <w:r w:rsidR="0020270F">
        <w:t xml:space="preserve">But it is also possible to think through the kinds of legislative proposals that are likely to endure versus those that are likely to fail, given the experience we have with legislative change generally. </w:t>
      </w:r>
    </w:p>
    <w:p w14:paraId="38C29D24" w14:textId="791DDCAA" w:rsidR="0020270F" w:rsidRDefault="0020270F" w:rsidP="00C62840">
      <w:pPr>
        <w:pStyle w:val="MainBody"/>
      </w:pPr>
      <w:r>
        <w:t>Here, Dodd-Frank offers conflicting institutional alternatives</w:t>
      </w:r>
      <w:r w:rsidR="00191D99">
        <w:t xml:space="preserve">. If institutional layering is key to punctuated coalitions, and if government actors become a tent pole for future temporary coalitions, then for a policy idea to endure, there should be an institutional actor to defend it. We have seen this with the Fed, the FDIC, and especially the GSEs. </w:t>
      </w:r>
    </w:p>
    <w:p w14:paraId="09A74F69" w14:textId="04445E74" w:rsidR="00191D99" w:rsidRDefault="00191D99" w:rsidP="00C62840">
      <w:pPr>
        <w:pStyle w:val="MainBody"/>
      </w:pPr>
      <w:r>
        <w:t xml:space="preserve">Dodd-Frank’s alternatives are in the Financial Stability Oversight Council and the CFPB. The FSOC is not an institutional actor that speaks with one voice. It speaks with twelve. It is an invitation to struggle, and will merely reflect the institutional will of the President, through the Secretary of the Treasury. The CFPB, on the other hand, will have a sea change in its regulatory and supervisory priorities. But it will endure. And in time—sooner rather than later—it will develop an institutional voice that will become untethered, at least in part, to purely partisan concerns. </w:t>
      </w:r>
    </w:p>
    <w:p w14:paraId="4DE82955" w14:textId="547896C4" w:rsidR="00976F45" w:rsidRDefault="00976F45" w:rsidP="00C62840">
      <w:pPr>
        <w:pStyle w:val="MainBody"/>
      </w:pPr>
      <w:r>
        <w:t xml:space="preserve">If one thinks that there </w:t>
      </w:r>
      <w:r>
        <w:rPr>
          <w:i/>
        </w:rPr>
        <w:t xml:space="preserve">should </w:t>
      </w:r>
      <w:r>
        <w:t>be a permanent voice in favor of consumer financial protection, then the CFPB as an independent institutional actor is a stunning legislative success unlikely to be enervated by future legislative actions. If one thinks there should be no permanent voice in favor of consumer financial protection, then its creation serves the opposite purpose.</w:t>
      </w:r>
    </w:p>
    <w:p w14:paraId="313CBEE9" w14:textId="650914D9" w:rsidR="00976F45" w:rsidRDefault="00976F45" w:rsidP="00C62840">
      <w:pPr>
        <w:pStyle w:val="MainBody"/>
      </w:pPr>
      <w:r>
        <w:t xml:space="preserve">Financial stability is a closely related phenomenon. A chorus of critics has compared, unfavorably, the U.S. experience with financial stability and other countries, especially the United Kingdom. In the UK, Parliament created a new structure, the Financial Policy Committee within the Bank of England, to focus exclusively on financial stability concerns. Parliament also gave the FPC substantial authority to change regulations to accommodate its identification of risk factors. </w:t>
      </w:r>
    </w:p>
    <w:p w14:paraId="2871A692" w14:textId="795D5A1E" w:rsidR="00976F45" w:rsidRPr="00976F45" w:rsidRDefault="00976F45" w:rsidP="00C62840">
      <w:pPr>
        <w:pStyle w:val="MainBody"/>
      </w:pPr>
      <w:r>
        <w:lastRenderedPageBreak/>
        <w:t>The FSOC, borne as we have seen of a punctuated coalition of the FDIC and Fed critics within Congress, was not given this authority. And it was not given an institutional identity. The predictable result was that the FSOC has now become a shadow of its self. Its designation authority, almost its only significant legislative authority, has atrophied. And even by legislative design, it exists with insufficient daylight between its own set of priorities and those of the Administration.</w:t>
      </w:r>
      <w:r>
        <w:rPr>
          <w:rStyle w:val="FootnoteReference"/>
        </w:rPr>
        <w:footnoteReference w:id="257"/>
      </w:r>
    </w:p>
    <w:p w14:paraId="317B8FD2" w14:textId="6962616E" w:rsidR="00C62840" w:rsidRPr="00C62840" w:rsidRDefault="00643E69" w:rsidP="00C62840">
      <w:pPr>
        <w:pStyle w:val="MainBody"/>
      </w:pPr>
      <w:r>
        <w:t>If one believes that financial stability needs a more permanent status within the hierarchy of financial policy, then the FSOC is a failure, an exercise in futility. If one believes that financial stability deserve no greater status than any other administrative priority, the failure to create either a new institution or to expand the Fed’s regulatory and supervisory bailiwick is a success.</w:t>
      </w:r>
    </w:p>
    <w:p w14:paraId="26DABCB9" w14:textId="3AC4243F" w:rsidR="002372E9" w:rsidRPr="0097784F" w:rsidRDefault="002372E9" w:rsidP="004A4EF6">
      <w:pPr>
        <w:pStyle w:val="Introduction-Conclusion"/>
        <w:spacing w:line="240" w:lineRule="auto"/>
        <w:rPr>
          <w:szCs w:val="24"/>
        </w:rPr>
      </w:pPr>
      <w:bookmarkStart w:id="14" w:name="_Toc535942138"/>
      <w:r w:rsidRPr="0097784F">
        <w:rPr>
          <w:szCs w:val="24"/>
        </w:rPr>
        <w:t>conclusio</w:t>
      </w:r>
      <w:bookmarkEnd w:id="14"/>
      <w:r w:rsidR="00642C6F" w:rsidRPr="0097784F">
        <w:rPr>
          <w:szCs w:val="24"/>
        </w:rPr>
        <w:t>n</w:t>
      </w:r>
      <w:r w:rsidR="004905FA" w:rsidRPr="0097784F">
        <w:rPr>
          <w:szCs w:val="24"/>
        </w:rPr>
        <w:t xml:space="preserve"> </w:t>
      </w:r>
    </w:p>
    <w:p w14:paraId="63831383" w14:textId="77777777" w:rsidR="001A73C9" w:rsidRDefault="00643E69" w:rsidP="00642C6F">
      <w:pPr>
        <w:pStyle w:val="BodyText"/>
        <w:tabs>
          <w:tab w:val="left" w:pos="360"/>
        </w:tabs>
        <w:spacing w:line="240" w:lineRule="auto"/>
        <w:rPr>
          <w:rFonts w:ascii="Garamond" w:hAnsi="Garamond"/>
          <w:szCs w:val="24"/>
        </w:rPr>
      </w:pPr>
      <w:r>
        <w:rPr>
          <w:rFonts w:ascii="Garamond" w:hAnsi="Garamond"/>
          <w:szCs w:val="24"/>
        </w:rPr>
        <w:t xml:space="preserve">This Article </w:t>
      </w:r>
      <w:r w:rsidR="00397A1B">
        <w:rPr>
          <w:rFonts w:ascii="Garamond" w:hAnsi="Garamond"/>
          <w:szCs w:val="24"/>
        </w:rPr>
        <w:t>has introduced a theory of legislation, called punctuated coalitions. The argument at its core invites attention to how fragile and temporary winning legislative coalitions are, but also how subject to the whims of nature before, during, and after those legislative successes. In that sense, it is an anti-theory. It invites a historiographic approach to understanding legislative change that is less focused on the grand designs of Great Men in history—even as individuals can matter enormously to the evolution of policy—and is much more focused on the truth</w:t>
      </w:r>
      <w:r w:rsidR="001A73C9">
        <w:rPr>
          <w:rFonts w:ascii="Garamond" w:hAnsi="Garamond"/>
          <w:szCs w:val="24"/>
        </w:rPr>
        <w:t xml:space="preserve"> that the legislative present is as uncertain as the legislative future. </w:t>
      </w:r>
    </w:p>
    <w:p w14:paraId="06E59001" w14:textId="66D3F13F" w:rsidR="00E94322" w:rsidRPr="00B11B84" w:rsidRDefault="001A73C9" w:rsidP="00B11B84">
      <w:pPr>
        <w:pStyle w:val="BodyText"/>
        <w:tabs>
          <w:tab w:val="left" w:pos="360"/>
        </w:tabs>
        <w:spacing w:line="240" w:lineRule="auto"/>
        <w:rPr>
          <w:rFonts w:ascii="Garamond" w:hAnsi="Garamond"/>
          <w:szCs w:val="24"/>
        </w:rPr>
      </w:pPr>
      <w:r>
        <w:rPr>
          <w:rFonts w:ascii="Garamond" w:hAnsi="Garamond"/>
          <w:szCs w:val="24"/>
        </w:rPr>
        <w:t xml:space="preserve">But this is neither a theory of nihilism nor of naivete. It is an invitation to use past legislative experience to understand how coalitions form and unform in favor of ideas that change as a result of their interaction with the legislative process. Despite </w:t>
      </w:r>
      <w:r>
        <w:rPr>
          <w:rFonts w:ascii="Garamond" w:hAnsi="Garamond"/>
          <w:szCs w:val="24"/>
        </w:rPr>
        <w:lastRenderedPageBreak/>
        <w:t xml:space="preserve">hackneyed repetitions of legislation as a process of sausage making, we understand very little systematically about how coalitions beyond political parties and special interest groups form around ever-changing ideas, in reaction to exogenous events. Punctuated coalitions are meant to be a tentative guide to those who would undertake that process. </w:t>
      </w:r>
    </w:p>
    <w:sectPr w:rsidR="00E94322" w:rsidRPr="00B11B84" w:rsidSect="00FE5875">
      <w:headerReference w:type="even" r:id="rId8"/>
      <w:headerReference w:type="default" r:id="rId9"/>
      <w:footerReference w:type="first" r:id="rId10"/>
      <w:pgSz w:w="8856" w:h="13738"/>
      <w:pgMar w:top="1440" w:right="1440" w:bottom="1440" w:left="1440" w:header="821" w:footer="82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596B0" w14:textId="77777777" w:rsidR="00243C0E" w:rsidRDefault="00243C0E" w:rsidP="008A277D">
      <w:r>
        <w:separator/>
      </w:r>
    </w:p>
  </w:endnote>
  <w:endnote w:type="continuationSeparator" w:id="0">
    <w:p w14:paraId="28BCA49A" w14:textId="77777777" w:rsidR="00243C0E" w:rsidRDefault="00243C0E" w:rsidP="008A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TC Galliard Pro">
    <w:altName w:val="Times New Roman"/>
    <w:panose1 w:val="00000000000000000000"/>
    <w:charset w:val="00"/>
    <w:family w:val="roman"/>
    <w:notTrueType/>
    <w:pitch w:val="variable"/>
    <w:sig w:usb0="00000001" w:usb1="5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ITC Galliard Std">
    <w:panose1 w:val="00000000000000000000"/>
    <w:charset w:val="00"/>
    <w:family w:val="auto"/>
    <w:notTrueType/>
    <w:pitch w:val="variable"/>
    <w:sig w:usb0="00000003" w:usb1="00000000" w:usb2="00000000" w:usb3="00000000" w:csb0="00000001" w:csb1="00000000"/>
  </w:font>
  <w:font w:name="Equity Text A">
    <w:altName w:val="Calibri"/>
    <w:panose1 w:val="00000000000000000000"/>
    <w:charset w:val="00"/>
    <w:family w:val="modern"/>
    <w:notTrueType/>
    <w:pitch w:val="variable"/>
    <w:sig w:usb0="A000002F" w:usb1="4000205A" w:usb2="00000000" w:usb3="00000000" w:csb0="0000011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CCB2" w14:textId="1365F7F6" w:rsidR="00CE71D3" w:rsidRPr="00972061" w:rsidRDefault="00CE71D3" w:rsidP="004C6014">
    <w:pPr>
      <w:pStyle w:val="Footer"/>
      <w:jc w:val="center"/>
      <w:rPr>
        <w:rFonts w:ascii="Equity Text A" w:hAnsi="Equity Text A"/>
      </w:rPr>
    </w:pPr>
    <w:r>
      <w:rPr>
        <w:rFonts w:ascii="Equity Text A" w:hAnsi="Equity Text A"/>
        <w:smallCaps/>
        <w:spacing w:val="20"/>
        <w:sz w:val="14"/>
        <w:szCs w:val="14"/>
      </w:rPr>
      <w:t xml:space="preserve">draft </w:t>
    </w:r>
    <w:r>
      <w:rPr>
        <w:rFonts w:ascii="Equity Text A" w:hAnsi="Equity Text A"/>
        <w:smallCaps/>
        <w:spacing w:val="20"/>
        <w:sz w:val="14"/>
        <w:szCs w:val="14"/>
      </w:rPr>
      <w:fldChar w:fldCharType="begin"/>
    </w:r>
    <w:r>
      <w:rPr>
        <w:rFonts w:ascii="Equity Text A" w:hAnsi="Equity Text A"/>
        <w:smallCaps/>
        <w:spacing w:val="20"/>
        <w:sz w:val="14"/>
        <w:szCs w:val="14"/>
      </w:rPr>
      <w:instrText xml:space="preserve"> DATE \@ "M/d/yyyy" </w:instrText>
    </w:r>
    <w:r>
      <w:rPr>
        <w:rFonts w:ascii="Equity Text A" w:hAnsi="Equity Text A"/>
        <w:smallCaps/>
        <w:spacing w:val="20"/>
        <w:sz w:val="14"/>
        <w:szCs w:val="14"/>
      </w:rPr>
      <w:fldChar w:fldCharType="separate"/>
    </w:r>
    <w:r>
      <w:rPr>
        <w:rFonts w:ascii="Equity Text A" w:hAnsi="Equity Text A"/>
        <w:smallCaps/>
        <w:noProof/>
        <w:spacing w:val="20"/>
        <w:sz w:val="14"/>
        <w:szCs w:val="14"/>
      </w:rPr>
      <w:t>2/28/2019</w:t>
    </w:r>
    <w:r>
      <w:rPr>
        <w:rFonts w:ascii="Equity Text A" w:hAnsi="Equity Text A"/>
        <w:smallCaps/>
        <w:spacing w:val="2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7249E" w14:textId="77777777" w:rsidR="00243C0E" w:rsidRDefault="00243C0E" w:rsidP="008A277D">
      <w:r>
        <w:separator/>
      </w:r>
    </w:p>
  </w:footnote>
  <w:footnote w:type="continuationSeparator" w:id="0">
    <w:p w14:paraId="43763C80" w14:textId="77777777" w:rsidR="00243C0E" w:rsidRDefault="00243C0E" w:rsidP="008A277D">
      <w:r>
        <w:continuationSeparator/>
      </w:r>
    </w:p>
  </w:footnote>
  <w:footnote w:id="1">
    <w:p w14:paraId="11E8927B" w14:textId="1126A289" w:rsidR="00CE71D3" w:rsidRPr="002818FC" w:rsidRDefault="00CE71D3" w:rsidP="00C42F90">
      <w:pPr>
        <w:pStyle w:val="FootnoteText"/>
      </w:pPr>
      <w:r w:rsidRPr="002818FC">
        <w:rPr>
          <w:rStyle w:val="FootnoteReference"/>
          <w:rFonts w:ascii="Garamond" w:hAnsi="Garamond"/>
        </w:rPr>
        <w:t>*</w:t>
      </w:r>
      <w:r w:rsidRPr="002818FC">
        <w:t xml:space="preserve"> The authors are listed alphabetically and are, respectively, Assistant Professor, The Wharton School of the University of Pennsylvania; PhD Candidate, Department of Management Science and Engineering, Stanford University; and Lecturer, Princeton University. We thank Vince Buccola, Brian Feinstein, Sarah Light, Frank Partnoy, [</w:t>
      </w:r>
      <w:r w:rsidRPr="002818FC">
        <w:rPr>
          <w:highlight w:val="yellow"/>
        </w:rPr>
        <w:t>asdf</w:t>
      </w:r>
      <w:r w:rsidRPr="002818FC">
        <w:t xml:space="preserve">]. This Article draws on the co-authors’ work in Peter Conti-Brown and Michael Ohlrogge, “Citation Indexing and the Measurement of Legislative Importance: Testing The Crisis-Legislation Hypothesis,” (working paper under revised submission, 2019); </w:t>
      </w:r>
      <w:r w:rsidRPr="00B11B84">
        <w:rPr>
          <w:smallCaps/>
        </w:rPr>
        <w:t>Peter Conti-Brown, Founding the Federal Reserve: Narrative Institutional History and Central Banking in the United States, 1789 – 1951</w:t>
      </w:r>
      <w:r w:rsidRPr="002818FC">
        <w:t xml:space="preserve"> (unpublished Princeton University PhD Dissertation, 2017), and </w:t>
      </w:r>
      <w:r w:rsidRPr="00B11B84">
        <w:rPr>
          <w:smallCaps/>
        </w:rPr>
        <w:t>Peter Conti-Brown and Sean Vanatta, The Banker’s Thumb: Bank Supervision in the United States from the Civil War to Dodd-Frank</w:t>
      </w:r>
      <w:r w:rsidRPr="002818FC">
        <w:t xml:space="preserve"> (Harvard University Press, forthcoming 2019).  </w:t>
      </w:r>
    </w:p>
  </w:footnote>
  <w:footnote w:id="2">
    <w:p w14:paraId="51F5B780" w14:textId="77777777" w:rsidR="00CE71D3" w:rsidRPr="002818FC" w:rsidRDefault="00CE71D3" w:rsidP="00C42F90">
      <w:pPr>
        <w:pStyle w:val="FootnoteText"/>
        <w:rPr>
          <w:smallCaps/>
        </w:rPr>
      </w:pPr>
      <w:r w:rsidRPr="002818FC">
        <w:rPr>
          <w:rStyle w:val="FootnoteReference"/>
          <w:rFonts w:ascii="Garamond" w:hAnsi="Garamond"/>
        </w:rPr>
        <w:footnoteRef/>
      </w:r>
      <w:r w:rsidRPr="002818FC">
        <w:t xml:space="preserve"> There is an extensive literature in political science on what motivates congressional action, building on Douglas Arnold’s seminal work, </w:t>
      </w:r>
      <w:r w:rsidRPr="002818FC">
        <w:rPr>
          <w:smallCaps/>
        </w:rPr>
        <w:t xml:space="preserve">R. Douglas Arnold, The Logic of Congressional Action (1990). </w:t>
      </w:r>
      <w:r w:rsidRPr="002818FC">
        <w:t xml:space="preserve">For an overview of this and related literatures, see Keith Whittington, “The Place of Congress in the Constitutional Order,” 40 </w:t>
      </w:r>
      <w:r w:rsidRPr="002818FC">
        <w:rPr>
          <w:smallCaps/>
        </w:rPr>
        <w:t xml:space="preserve">Harv. J. L. &amp; Pub. Pol'y 573 (2017). </w:t>
      </w:r>
      <w:r w:rsidRPr="002818FC">
        <w:t xml:space="preserve"> </w:t>
      </w:r>
    </w:p>
  </w:footnote>
  <w:footnote w:id="3">
    <w:p w14:paraId="5A8D928C" w14:textId="77777777" w:rsidR="00CE71D3" w:rsidRPr="002818FC" w:rsidRDefault="00CE71D3" w:rsidP="00C42F90">
      <w:pPr>
        <w:pStyle w:val="FootnoteText"/>
      </w:pPr>
      <w:r w:rsidRPr="002818FC">
        <w:rPr>
          <w:rStyle w:val="FootnoteReference"/>
          <w:rFonts w:ascii="Garamond" w:hAnsi="Garamond"/>
        </w:rPr>
        <w:footnoteRef/>
      </w:r>
      <w:r w:rsidRPr="002818FC">
        <w:t xml:space="preserve"> See, e.g., Paul A. Alarcón, “Recognizing and Regulating Home Schooling in California: Balancing Parental and State Interests in Education,” 13 </w:t>
      </w:r>
      <w:r w:rsidRPr="002818FC">
        <w:rPr>
          <w:smallCaps/>
        </w:rPr>
        <w:t>Chapman L. Rev. 391 (2010)</w:t>
      </w:r>
      <w:r w:rsidRPr="002818FC">
        <w:t xml:space="preserve"> </w:t>
      </w:r>
    </w:p>
  </w:footnote>
  <w:footnote w:id="4">
    <w:p w14:paraId="043BF807" w14:textId="77777777" w:rsidR="00CE71D3" w:rsidRPr="002818FC" w:rsidRDefault="00CE71D3" w:rsidP="00C42F90">
      <w:pPr>
        <w:pStyle w:val="FootnoteText"/>
      </w:pPr>
      <w:r w:rsidRPr="002818FC">
        <w:rPr>
          <w:rStyle w:val="FootnoteReference"/>
          <w:rFonts w:ascii="Garamond" w:hAnsi="Garamond"/>
        </w:rPr>
        <w:footnoteRef/>
      </w:r>
      <w:r w:rsidRPr="002818FC">
        <w:t xml:space="preserve"> See Part I.B, </w:t>
      </w:r>
      <w:r w:rsidRPr="002818FC">
        <w:rPr>
          <w:i/>
        </w:rPr>
        <w:t>infra</w:t>
      </w:r>
      <w:r w:rsidRPr="002818FC">
        <w:t xml:space="preserve">. </w:t>
      </w:r>
    </w:p>
  </w:footnote>
  <w:footnote w:id="5">
    <w:p w14:paraId="0BA6DEFE" w14:textId="77777777" w:rsidR="00CE71D3" w:rsidRPr="002818FC" w:rsidRDefault="00CE71D3" w:rsidP="00C42F90">
      <w:pPr>
        <w:pStyle w:val="FootnoteText"/>
      </w:pPr>
      <w:r w:rsidRPr="002818FC">
        <w:rPr>
          <w:rStyle w:val="FootnoteReference"/>
          <w:rFonts w:ascii="Garamond" w:hAnsi="Garamond"/>
        </w:rPr>
        <w:footnoteRef/>
      </w:r>
      <w:r w:rsidRPr="002818FC">
        <w:t xml:space="preserve"> See Part I.C., </w:t>
      </w:r>
      <w:r w:rsidRPr="002818FC">
        <w:rPr>
          <w:i/>
        </w:rPr>
        <w:t xml:space="preserve">infra. </w:t>
      </w:r>
    </w:p>
  </w:footnote>
  <w:footnote w:id="6">
    <w:p w14:paraId="1BC55D77" w14:textId="77777777" w:rsidR="00CE71D3" w:rsidRPr="002818FC" w:rsidRDefault="00CE71D3" w:rsidP="00C42F90">
      <w:pPr>
        <w:pStyle w:val="FootnoteText"/>
      </w:pPr>
      <w:r w:rsidRPr="002818FC">
        <w:rPr>
          <w:rStyle w:val="FootnoteReference"/>
          <w:rFonts w:ascii="Garamond" w:hAnsi="Garamond"/>
        </w:rPr>
        <w:footnoteRef/>
      </w:r>
      <w:r w:rsidRPr="002818FC">
        <w:t xml:space="preserve"> The best overview of the Panic of 1907 is Robert F. Bruner &amp; Sean D. Carr, </w:t>
      </w:r>
      <w:r w:rsidRPr="002818FC">
        <w:rPr>
          <w:smallCaps/>
        </w:rPr>
        <w:t>The Panic of 1907: Lessons Learned From the Market's Perfect Storm</w:t>
      </w:r>
      <w:r w:rsidRPr="002818FC">
        <w:t xml:space="preserve"> (2009)</w:t>
      </w:r>
    </w:p>
  </w:footnote>
  <w:footnote w:id="7">
    <w:p w14:paraId="7D9F51A1" w14:textId="77777777" w:rsidR="00CE71D3" w:rsidRPr="002818FC" w:rsidRDefault="00CE71D3" w:rsidP="00C42F90">
      <w:pPr>
        <w:pStyle w:val="FootnoteText"/>
      </w:pPr>
      <w:r w:rsidRPr="002818FC">
        <w:rPr>
          <w:rStyle w:val="FootnoteReference"/>
          <w:rFonts w:ascii="Garamond" w:hAnsi="Garamond"/>
        </w:rPr>
        <w:footnoteRef/>
      </w:r>
      <w:r w:rsidRPr="002818FC">
        <w:t xml:space="preserve"> For a contemporaneous account of the spill and its political repercussions, see Robert Easton, Black Tide: The Santa Barbara Oil Spill and Its Consequences (1972)</w:t>
      </w:r>
    </w:p>
  </w:footnote>
  <w:footnote w:id="8">
    <w:p w14:paraId="640B7E8E" w14:textId="77777777" w:rsidR="00CE71D3" w:rsidRPr="002818FC" w:rsidRDefault="00CE71D3" w:rsidP="00C42F90">
      <w:pPr>
        <w:pStyle w:val="FootnoteText"/>
      </w:pPr>
      <w:r w:rsidRPr="002818FC">
        <w:rPr>
          <w:rStyle w:val="FootnoteReference"/>
          <w:rFonts w:ascii="Garamond" w:hAnsi="Garamond"/>
        </w:rPr>
        <w:footnoteRef/>
      </w:r>
      <w:r w:rsidRPr="002818FC">
        <w:t xml:space="preserve"> There is a vast literature on policy entrepreneurship as a broad category, well summarized in David E. Pozen, “We Are All Entrepreneurs Now,” 43 </w:t>
      </w:r>
      <w:r w:rsidRPr="002818FC">
        <w:rPr>
          <w:smallCaps/>
        </w:rPr>
        <w:t>Wake Forest L. Rev. 283, 300-305 (</w:t>
      </w:r>
      <w:r w:rsidRPr="002818FC">
        <w:t xml:space="preserve">describing the ubiquity of a term that retains some conceptual haziness). The iconic work on agenda setting and policy entrepreneurship remains </w:t>
      </w:r>
      <w:r w:rsidRPr="002818FC">
        <w:rPr>
          <w:smallCaps/>
        </w:rPr>
        <w:t>John W. Kingdon, Agendas, Alternatives, and Public Policies</w:t>
      </w:r>
      <w:r w:rsidRPr="002818FC">
        <w:t xml:space="preserve"> 182-83 (Updated 2d ed. 2010). For its description in the context of financial legislation, see Roberta Romano, “The Sarbanes-Oxley Act and the Making of Quack Corporate Governance,” 114 </w:t>
      </w:r>
      <w:r w:rsidRPr="002818FC">
        <w:rPr>
          <w:smallCaps/>
        </w:rPr>
        <w:t>Yale L. J. 1521, 1568-1571 (2005) (</w:t>
      </w:r>
      <w:r w:rsidRPr="002818FC">
        <w:t xml:space="preserve">describing how policy entrepreneurship as the impetus for legislative attention to the corporate governance provisions in the Sarbanes-Oxley Act that had generated a “lack of interest . . . shown by legislators during the floor debate”). For a historical treatment of policy entrepreneurs in legislative action in securities legislation, see </w:t>
      </w:r>
      <w:r w:rsidRPr="002818FC">
        <w:rPr>
          <w:smallCaps/>
        </w:rPr>
        <w:t>Paul G. Mahoney, Wasting a Crisis: Why Securities Regulation Fails 149-151 (2015) (</w:t>
      </w:r>
      <w:r w:rsidRPr="002818FC">
        <w:t>arguing that “policy entrepreneurs” were responsible for the “market failure” hypothesis in generating much of the content of the securities acts in the 21</w:t>
      </w:r>
      <w:r w:rsidRPr="002818FC">
        <w:rPr>
          <w:vertAlign w:val="superscript"/>
        </w:rPr>
        <w:t>st</w:t>
      </w:r>
      <w:r w:rsidRPr="002818FC">
        <w:t xml:space="preserve"> century). </w:t>
      </w:r>
    </w:p>
  </w:footnote>
  <w:footnote w:id="9">
    <w:p w14:paraId="2802EB2C" w14:textId="77777777" w:rsidR="00CE71D3" w:rsidRPr="002818FC" w:rsidRDefault="00CE71D3" w:rsidP="00C42F90">
      <w:pPr>
        <w:pStyle w:val="FootnoteText"/>
      </w:pPr>
      <w:r w:rsidRPr="002818FC">
        <w:rPr>
          <w:rStyle w:val="FootnoteReference"/>
          <w:rFonts w:ascii="Garamond" w:hAnsi="Garamond"/>
        </w:rPr>
        <w:footnoteRef/>
      </w:r>
      <w:r w:rsidRPr="002818FC">
        <w:t xml:space="preserve"> See Pozen </w:t>
      </w:r>
      <w:r w:rsidRPr="002818FC">
        <w:rPr>
          <w:i/>
        </w:rPr>
        <w:t xml:space="preserve">supra </w:t>
      </w:r>
      <w:r w:rsidRPr="002818FC">
        <w:t>note XX, quoting Roger H. Davidson &amp; Walter J. Oleszek, Congress and Its Members 259 (7th ed. 2000) (quoting in turn David E. Price, Who Makes the Laws? Creativity and Power in Senate Committees 297 (1972))</w:t>
      </w:r>
    </w:p>
  </w:footnote>
  <w:footnote w:id="10">
    <w:p w14:paraId="1304CBCE" w14:textId="77777777" w:rsidR="00CE71D3" w:rsidRPr="002818FC" w:rsidRDefault="00CE71D3" w:rsidP="00C42F90">
      <w:pPr>
        <w:pStyle w:val="FootnoteText"/>
      </w:pPr>
      <w:r w:rsidRPr="002818FC">
        <w:rPr>
          <w:rStyle w:val="FootnoteReference"/>
          <w:rFonts w:ascii="Garamond" w:hAnsi="Garamond"/>
        </w:rPr>
        <w:footnoteRef/>
      </w:r>
      <w:r w:rsidRPr="002818FC">
        <w:t xml:space="preserve"> See part I.B, </w:t>
      </w:r>
      <w:r w:rsidRPr="002818FC">
        <w:rPr>
          <w:i/>
        </w:rPr>
        <w:t>infra</w:t>
      </w:r>
      <w:r w:rsidRPr="002818FC">
        <w:t xml:space="preserve"> </w:t>
      </w:r>
    </w:p>
  </w:footnote>
  <w:footnote w:id="11">
    <w:p w14:paraId="7E8EBE4E" w14:textId="6FCA155A" w:rsidR="00CE71D3" w:rsidRPr="002818FC" w:rsidRDefault="00CE71D3" w:rsidP="00C42F90">
      <w:pPr>
        <w:pStyle w:val="FootnoteText"/>
      </w:pPr>
      <w:r w:rsidRPr="002818FC">
        <w:rPr>
          <w:rStyle w:val="FootnoteReference"/>
          <w:rFonts w:ascii="Garamond" w:hAnsi="Garamond"/>
        </w:rPr>
        <w:footnoteRef/>
      </w:r>
      <w:r w:rsidRPr="002818FC">
        <w:t xml:space="preserve"> The 1990-1991 recession, 1992 election, and 103d Congress gaveled into session in 1993 provide an interesting example of randomness here. The economy was in recession for just eight months from 1990-1991, see NBER Business Cycle Dating Committee - March 1991, “</w:t>
      </w:r>
      <w:r w:rsidRPr="002818FC">
        <w:rPr>
          <w:bCs/>
        </w:rPr>
        <w:t xml:space="preserve">NBER Business Cycle Dating Committee Determines that Recession Ended in March 1991,” December 22, 1992. But the economy and economic uncertainty dominated the 1992 election in a fractured election that gave the winning candidate, Governor Bill Clinton of Arkansas, only 43% of the popular vote. For a contemporaneous account of how much economics dominated the candidates’ strategies, see </w:t>
      </w:r>
      <w:r w:rsidRPr="002818FC">
        <w:rPr>
          <w:bCs/>
          <w:smallCaps/>
        </w:rPr>
        <w:t xml:space="preserve">Jack W. Germond and Jules Witcover, Mad as Hell: Revolt at the Ballot Box, 1992. </w:t>
      </w:r>
      <w:r w:rsidRPr="002818FC">
        <w:rPr>
          <w:bCs/>
        </w:rPr>
        <w:t>Even so, the 103</w:t>
      </w:r>
      <w:r w:rsidRPr="002818FC">
        <w:rPr>
          <w:bCs/>
          <w:vertAlign w:val="superscript"/>
        </w:rPr>
        <w:t>rd</w:t>
      </w:r>
      <w:r w:rsidRPr="002818FC">
        <w:rPr>
          <w:bCs/>
        </w:rPr>
        <w:t xml:space="preserve"> Congress elected in 1992 did not produce a number of economic legislation. Besides passing an omnibus budget, the Family and Medical Leave Act, and NAFTA implementation legislation, most of the legislation from that session focused on crime. For more on the 103</w:t>
      </w:r>
      <w:r w:rsidRPr="002818FC">
        <w:rPr>
          <w:bCs/>
          <w:vertAlign w:val="superscript"/>
        </w:rPr>
        <w:t>rd</w:t>
      </w:r>
      <w:r w:rsidRPr="002818FC">
        <w:rPr>
          <w:bCs/>
        </w:rPr>
        <w:t xml:space="preserve"> Congress in relation to the 1992 election and the Clinton Administration, see </w:t>
      </w:r>
      <w:r w:rsidRPr="002818FC">
        <w:rPr>
          <w:bCs/>
          <w:smallCaps/>
        </w:rPr>
        <w:t>Steve Kornacki, The Red and the Blue: The 1990s and the Birth of Political Tribalism 233-250 (2018)</w:t>
      </w:r>
    </w:p>
  </w:footnote>
  <w:footnote w:id="12">
    <w:p w14:paraId="79EC4A9E" w14:textId="69BA3DD5" w:rsidR="00CE71D3" w:rsidRPr="002818FC" w:rsidRDefault="00CE71D3" w:rsidP="00C42F90">
      <w:pPr>
        <w:pStyle w:val="FootnoteText"/>
      </w:pPr>
      <w:r w:rsidRPr="002818FC">
        <w:rPr>
          <w:rStyle w:val="FootnoteReference"/>
          <w:rFonts w:ascii="Garamond" w:hAnsi="Garamond"/>
        </w:rPr>
        <w:footnoteRef/>
      </w:r>
      <w:r w:rsidRPr="002818FC">
        <w:t xml:space="preserve"> Watergate is the great impetus behind a burst of legislation around disclosure and campaign finance, see </w:t>
      </w:r>
      <w:r w:rsidRPr="002818FC">
        <w:rPr>
          <w:smallCaps/>
        </w:rPr>
        <w:t xml:space="preserve">John A. Lawrence, The Class of ’74: Congress After Watergate and the Roots of Partisanship (2018). </w:t>
      </w:r>
      <w:r w:rsidRPr="002818FC">
        <w:t xml:space="preserve">But the Clinton impeachment—only the second such act in U.S. history—did not. </w:t>
      </w:r>
      <w:r w:rsidRPr="002818FC">
        <w:rPr>
          <w:smallCaps/>
        </w:rPr>
        <w:t>See Ken Gormley, The Death of American Virtue: Clinton vs. Starr</w:t>
      </w:r>
      <w:r w:rsidRPr="002818FC">
        <w:t xml:space="preserve"> (2010).</w:t>
      </w:r>
    </w:p>
  </w:footnote>
  <w:footnote w:id="13">
    <w:p w14:paraId="671D2004" w14:textId="782D67E5" w:rsidR="00CE71D3" w:rsidRPr="002818FC" w:rsidRDefault="00CE71D3" w:rsidP="00C42F90">
      <w:pPr>
        <w:pStyle w:val="FootnoteText"/>
      </w:pPr>
      <w:r w:rsidRPr="002818FC">
        <w:rPr>
          <w:rStyle w:val="FootnoteReference"/>
          <w:rFonts w:ascii="Garamond" w:hAnsi="Garamond"/>
        </w:rPr>
        <w:footnoteRef/>
      </w:r>
      <w:r w:rsidRPr="002818FC">
        <w:t xml:space="preserve"> The best example of private scandal driving legislation remains the Sarbanes-Oxley Act as an reaction to corporate accounting scandals, see Romano </w:t>
      </w:r>
      <w:r w:rsidRPr="002818FC">
        <w:rPr>
          <w:i/>
        </w:rPr>
        <w:t xml:space="preserve">supra </w:t>
      </w:r>
      <w:r w:rsidRPr="002818FC">
        <w:t xml:space="preserve">note XX. But the legislative response to JP Morgan Chase’s spectacular losses from a rogue trader in London—the so-called London Whale—produced a substantial congressional investigation but no legislative response. See U.S. Senate Permanent Subcomittee on Investigations, “JP Morgan Chase Whale Trades: A Case History of Derivatives Risks and Abuses,” March 15, 2013.  </w:t>
      </w:r>
    </w:p>
  </w:footnote>
  <w:footnote w:id="14">
    <w:p w14:paraId="4876D8DF" w14:textId="3EC48ABE" w:rsidR="00CE71D3" w:rsidRPr="002818FC" w:rsidRDefault="00CE71D3" w:rsidP="00C42F90">
      <w:pPr>
        <w:pStyle w:val="FootnoteText"/>
      </w:pPr>
      <w:r w:rsidRPr="002818FC">
        <w:rPr>
          <w:rStyle w:val="FootnoteReference"/>
          <w:rFonts w:ascii="Garamond" w:hAnsi="Garamond"/>
        </w:rPr>
        <w:footnoteRef/>
      </w:r>
      <w:r w:rsidRPr="002818FC">
        <w:t xml:space="preserve"> After close elections in 2000 and 2016, Republicans pushed major tax policy legislation, see the Economic Growth and Tax Relief Reconciliation Act of 2001, 115 Stat. 38 (2001) and the Tax Cuts and Jobs Act, 131 Stat. 2054 (2017). But close elections in 1992, as mentioned </w:t>
      </w:r>
      <w:r w:rsidRPr="002818FC">
        <w:rPr>
          <w:i/>
        </w:rPr>
        <w:t xml:space="preserve">supra </w:t>
      </w:r>
      <w:r w:rsidRPr="002818FC">
        <w:t xml:space="preserve">note XX did not produce the same legislative burst. </w:t>
      </w:r>
    </w:p>
  </w:footnote>
  <w:footnote w:id="15">
    <w:p w14:paraId="687E322A" w14:textId="77777777" w:rsidR="00CE71D3" w:rsidRPr="002818FC" w:rsidRDefault="00CE71D3" w:rsidP="00C42F90">
      <w:pPr>
        <w:pStyle w:val="FootnoteText"/>
      </w:pPr>
      <w:r w:rsidRPr="002818FC">
        <w:rPr>
          <w:rStyle w:val="FootnoteReference"/>
          <w:rFonts w:ascii="Garamond" w:hAnsi="Garamond"/>
        </w:rPr>
        <w:footnoteRef/>
      </w:r>
      <w:r w:rsidRPr="002818FC">
        <w:t xml:space="preserve"> Barack Obama’s election in 2008 over John McCain may not have been a close election, but his first appointment of Daniel Tarullo to the Federal Reserve’s Board of Governors was hardly foreordained. Even so, Tarullo became “arguably the most important non-chair Governor in the history of the modern Federal Reserve System,” </w:t>
      </w:r>
      <w:r w:rsidRPr="002818FC">
        <w:rPr>
          <w:smallCaps/>
        </w:rPr>
        <w:t>Peter Conti-Brown, The Power and Independence of the Federal Reserve 74 (2016)</w:t>
      </w:r>
      <w:r w:rsidRPr="002818FC">
        <w:t xml:space="preserve"> and “the most powerful man in banking,” Ryan Tracy and Emily Glazer, “The Most Powerful Man in Banking,” </w:t>
      </w:r>
      <w:r w:rsidRPr="002818FC">
        <w:rPr>
          <w:smallCaps/>
        </w:rPr>
        <w:t xml:space="preserve">Wall St. J., </w:t>
      </w:r>
      <w:r w:rsidRPr="002818FC">
        <w:t xml:space="preserve">May 31, 2016. The number of political appointments with prominent reputations but little to show for their government service is, on the other hand, very long.  </w:t>
      </w:r>
    </w:p>
  </w:footnote>
  <w:footnote w:id="16">
    <w:p w14:paraId="3A0B68FD" w14:textId="629733F5" w:rsidR="00CE71D3" w:rsidRPr="002818FC" w:rsidRDefault="00CE71D3" w:rsidP="00C42F90">
      <w:pPr>
        <w:pStyle w:val="FootnoteText"/>
      </w:pPr>
      <w:r w:rsidRPr="002818FC">
        <w:rPr>
          <w:rStyle w:val="FootnoteReference"/>
          <w:rFonts w:ascii="Garamond" w:hAnsi="Garamond"/>
        </w:rPr>
        <w:footnoteRef/>
      </w:r>
      <w:r w:rsidRPr="002818FC">
        <w:t xml:space="preserve"> The “narrative fallacy” comes from Nassim Taleb, The Black Swan: The Impact of the Highly Improbable 62-84 (2d Edition 2010), ideas he expanded in Nassim Taleb, Fooled by Randomness: The Hidden Role of Chance in Life and in the Markets (2008) But the label is essentially the application of the logical fallacy “post hoc ergo propter hoc,” wherein humans assume that events in a sequence have a chronological causal relationship. The essential randomness of public policy is not a standard feature of legal theories of legislation or public policy generally, although some have made this connection. See, e.g., M. Todd Henderson, Justin Wolfers, &amp; Eric Zitzewitz, “Predicting Crime,” 52 Ariz. L. Rev. 15, 24-26 (2010). </w:t>
      </w:r>
    </w:p>
  </w:footnote>
  <w:footnote w:id="17">
    <w:p w14:paraId="62C792DE" w14:textId="1FB02CF3" w:rsidR="00CE71D3" w:rsidRPr="002818FC" w:rsidRDefault="00CE71D3" w:rsidP="00C42F90">
      <w:pPr>
        <w:pStyle w:val="FootnoteText"/>
        <w:rPr>
          <w:smallCaps/>
        </w:rPr>
      </w:pPr>
      <w:r w:rsidRPr="002818FC">
        <w:rPr>
          <w:rStyle w:val="FootnoteReference"/>
          <w:rFonts w:ascii="Garamond" w:hAnsi="Garamond"/>
        </w:rPr>
        <w:footnoteRef/>
      </w:r>
      <w:r w:rsidRPr="002818FC">
        <w:t xml:space="preserve"> There is a deep literature on how coalitions form and, to a lesser extent, unform in political science. For a recent theory that puts policy entrepreneurs at the center, rather than political parties, see Kathleen Bawn, Martin Cohen, David Karol, Seth Masket, Hans Noel, and John Zaller, “A Theory of Political Parties: Groups, Policy Demands and Nominations in American Politics,” </w:t>
      </w:r>
      <w:r w:rsidRPr="002818FC">
        <w:rPr>
          <w:smallCaps/>
        </w:rPr>
        <w:t xml:space="preserve">10 Perspectives on Politics 571, 579-581 (2012). </w:t>
      </w:r>
      <w:r w:rsidRPr="002818FC">
        <w:t xml:space="preserve">A more party-centric view is </w:t>
      </w:r>
      <w:r w:rsidRPr="002818FC">
        <w:rPr>
          <w:smallCaps/>
        </w:rPr>
        <w:t xml:space="preserve">David Karol, Party Position Change in American Politics: Coalition Management (2009), </w:t>
      </w:r>
      <w:r w:rsidRPr="002818FC">
        <w:t xml:space="preserve">especially pages 134-182 on “groupless” issues. On how issues evolve within party politics and broader coalitions (in the context of civil rights), see </w:t>
      </w:r>
      <w:r w:rsidRPr="002818FC">
        <w:rPr>
          <w:smallCaps/>
        </w:rPr>
        <w:t xml:space="preserve">Edward G. Carmines &amp; James A. Stinson, Issue Evolution: Race and the Transformation of American Politics (1989). </w:t>
      </w:r>
      <w:r w:rsidRPr="002818FC">
        <w:t xml:space="preserve">For a careful reexamination of coalition shifts within parties on the question of civil rights, see Brian D. Feinstein &amp; Eric Schickler, “Platforms and Partners: The Civil Rights Realignment Reconsidered,” </w:t>
      </w:r>
      <w:r w:rsidRPr="002818FC">
        <w:rPr>
          <w:smallCaps/>
        </w:rPr>
        <w:t xml:space="preserve">22 Studies in American Political Development 1 (2008). </w:t>
      </w:r>
    </w:p>
  </w:footnote>
  <w:footnote w:id="18">
    <w:p w14:paraId="7A653559" w14:textId="352E5804" w:rsidR="00CE71D3" w:rsidRPr="002818FC" w:rsidRDefault="00CE71D3" w:rsidP="00C42F90">
      <w:pPr>
        <w:pStyle w:val="FootnoteText"/>
      </w:pPr>
      <w:r w:rsidRPr="002818FC">
        <w:rPr>
          <w:rStyle w:val="FootnoteReference"/>
          <w:rFonts w:ascii="Garamond" w:hAnsi="Garamond"/>
        </w:rPr>
        <w:footnoteRef/>
      </w:r>
      <w:r w:rsidRPr="002818FC">
        <w:t xml:space="preserve"> See, e.g, Bernard Bailyn, The Ideological Origins of the American Revolution (1968).  </w:t>
      </w:r>
    </w:p>
  </w:footnote>
  <w:footnote w:id="19">
    <w:p w14:paraId="40D7DF32" w14:textId="76B0E5E0" w:rsidR="00CE71D3" w:rsidRPr="002818FC" w:rsidRDefault="00CE71D3" w:rsidP="00C42F90">
      <w:pPr>
        <w:pStyle w:val="FootnoteText"/>
        <w:rPr>
          <w:smallCaps/>
        </w:rPr>
      </w:pPr>
      <w:r w:rsidRPr="002818FC">
        <w:rPr>
          <w:rStyle w:val="FootnoteReference"/>
          <w:rFonts w:ascii="Garamond" w:hAnsi="Garamond"/>
        </w:rPr>
        <w:footnoteRef/>
      </w:r>
      <w:r w:rsidRPr="002818FC">
        <w:t xml:space="preserve"> For a treatment of organic statutes in administrative law, see Richard E. Levy &amp; Robert L. Glicksman, “Agency-Specific Precedents,” </w:t>
      </w:r>
      <w:r w:rsidRPr="002818FC">
        <w:rPr>
          <w:smallCaps/>
        </w:rPr>
        <w:t xml:space="preserve">89 Tex. L. Rev. 499 (2011). </w:t>
      </w:r>
    </w:p>
  </w:footnote>
  <w:footnote w:id="20">
    <w:p w14:paraId="09A1755C" w14:textId="6173E179" w:rsidR="00CE71D3" w:rsidRPr="002818FC" w:rsidRDefault="00CE71D3" w:rsidP="00C42F90">
      <w:pPr>
        <w:pStyle w:val="FootnoteText"/>
      </w:pPr>
      <w:r w:rsidRPr="002818FC">
        <w:rPr>
          <w:rStyle w:val="FootnoteReference"/>
          <w:rFonts w:ascii="Garamond" w:hAnsi="Garamond"/>
        </w:rPr>
        <w:footnoteRef/>
      </w:r>
      <w:r w:rsidRPr="002818FC">
        <w:t xml:space="preserve"> James Mahoney and Kathleen Thelen, “A Theory of Grad Institutional Change,”  in Explaining Institutional Change: Ambiguity, Agency, and Power (Mahoney &amp; Thelen, eds) (2009)</w:t>
      </w:r>
    </w:p>
  </w:footnote>
  <w:footnote w:id="21">
    <w:p w14:paraId="4D8FC568" w14:textId="77777777" w:rsidR="00CE71D3" w:rsidRPr="002818FC" w:rsidRDefault="00CE71D3" w:rsidP="00C42F90">
      <w:pPr>
        <w:pStyle w:val="FootnoteText"/>
        <w:rPr>
          <w:smallCaps/>
        </w:rPr>
      </w:pPr>
      <w:r w:rsidRPr="002818FC">
        <w:rPr>
          <w:rStyle w:val="FootnoteReference"/>
          <w:rFonts w:ascii="Garamond" w:hAnsi="Garamond"/>
        </w:rPr>
        <w:footnoteRef/>
      </w:r>
      <w:r w:rsidRPr="002818FC">
        <w:t xml:space="preserve"> For a useful overview of fields of law with multiple regulators, see Daniel A. Farber and Anne Joseph O’Connell, “Agencies as Adversaries,” </w:t>
      </w:r>
      <w:r w:rsidRPr="002818FC">
        <w:rPr>
          <w:smallCaps/>
        </w:rPr>
        <w:t xml:space="preserve">105 Calif. L. Rev. 1375 (2017). </w:t>
      </w:r>
    </w:p>
  </w:footnote>
  <w:footnote w:id="22">
    <w:p w14:paraId="752C29DD" w14:textId="3F58E3CD" w:rsidR="00CE71D3" w:rsidRPr="002818FC" w:rsidRDefault="00CE71D3" w:rsidP="00C42F90">
      <w:pPr>
        <w:pStyle w:val="FootnoteText"/>
        <w:rPr>
          <w:smallCaps/>
        </w:rPr>
      </w:pPr>
      <w:r w:rsidRPr="002818FC">
        <w:rPr>
          <w:rStyle w:val="FootnoteReference"/>
          <w:rFonts w:ascii="Garamond" w:hAnsi="Garamond"/>
        </w:rPr>
        <w:footnoteRef/>
      </w:r>
      <w:r w:rsidRPr="002818FC">
        <w:t xml:space="preserve"> Sarah Light has written extensively on federalism in environmental protection. See, e.g., Sarah E. Light, “Advisory Nonpreemption,” 95 </w:t>
      </w:r>
      <w:r w:rsidRPr="002818FC">
        <w:rPr>
          <w:smallCaps/>
        </w:rPr>
        <w:t xml:space="preserve">Wash. U. L. Rev. 325 (2017). </w:t>
      </w:r>
    </w:p>
  </w:footnote>
  <w:footnote w:id="23">
    <w:p w14:paraId="5F5AD96A" w14:textId="6F27A120" w:rsidR="00CE71D3" w:rsidRPr="002818FC" w:rsidRDefault="00CE71D3" w:rsidP="00C42F90">
      <w:pPr>
        <w:pStyle w:val="FootnoteText"/>
      </w:pPr>
      <w:r w:rsidRPr="002818FC">
        <w:rPr>
          <w:rStyle w:val="FootnoteReference"/>
          <w:rFonts w:ascii="Garamond" w:hAnsi="Garamond"/>
        </w:rPr>
        <w:footnoteRef/>
      </w:r>
      <w:r w:rsidRPr="002818FC">
        <w:t xml:space="preserve"> See Feinstein &amp; Schickler, </w:t>
      </w:r>
      <w:r w:rsidRPr="002818FC">
        <w:rPr>
          <w:i/>
        </w:rPr>
        <w:t xml:space="preserve">supra </w:t>
      </w:r>
      <w:r w:rsidRPr="002818FC">
        <w:t>note XX</w:t>
      </w:r>
    </w:p>
  </w:footnote>
  <w:footnote w:id="24">
    <w:p w14:paraId="3A4EFCAB" w14:textId="72FC92AB" w:rsidR="00CE71D3" w:rsidRPr="002818FC" w:rsidRDefault="00CE71D3" w:rsidP="00C42F90">
      <w:pPr>
        <w:pStyle w:val="FootnoteText"/>
      </w:pPr>
      <w:r w:rsidRPr="002818FC">
        <w:rPr>
          <w:rStyle w:val="FootnoteReference"/>
          <w:rFonts w:ascii="Garamond" w:hAnsi="Garamond"/>
        </w:rPr>
        <w:footnoteRef/>
      </w:r>
      <w:r w:rsidRPr="002818FC">
        <w:t xml:space="preserve"> </w:t>
      </w:r>
      <w:r w:rsidRPr="002818FC">
        <w:rPr>
          <w:i/>
          <w:iCs/>
        </w:rPr>
        <w:t>See</w:t>
      </w:r>
      <w:r w:rsidRPr="002818FC">
        <w:t> Nathan J. Russell, </w:t>
      </w:r>
      <w:r w:rsidRPr="002818FC">
        <w:rPr>
          <w:i/>
          <w:iCs/>
        </w:rPr>
        <w:t>An Introduction to the </w:t>
      </w:r>
      <w:r w:rsidRPr="002818FC">
        <w:rPr>
          <w:bCs/>
          <w:i/>
          <w:iCs/>
        </w:rPr>
        <w:t>Overton</w:t>
      </w:r>
      <w:r w:rsidRPr="002818FC">
        <w:rPr>
          <w:i/>
          <w:iCs/>
        </w:rPr>
        <w:t> </w:t>
      </w:r>
      <w:r w:rsidRPr="002818FC">
        <w:rPr>
          <w:bCs/>
          <w:i/>
          <w:iCs/>
        </w:rPr>
        <w:t>Window</w:t>
      </w:r>
      <w:r w:rsidRPr="002818FC">
        <w:rPr>
          <w:i/>
          <w:iCs/>
        </w:rPr>
        <w:t> of Political Possibilities,</w:t>
      </w:r>
      <w:r w:rsidRPr="002818FC">
        <w:t> </w:t>
      </w:r>
      <w:r w:rsidRPr="002818FC">
        <w:rPr>
          <w:smallCaps/>
        </w:rPr>
        <w:t>Mackinac Ctr. for Pub. Pol'y</w:t>
      </w:r>
      <w:r w:rsidRPr="002818FC">
        <w:t> (Jan. 4, 2006), https://www.mackinac.org/7504 .</w:t>
      </w:r>
    </w:p>
  </w:footnote>
  <w:footnote w:id="25">
    <w:p w14:paraId="03400FDB" w14:textId="51666FF3" w:rsidR="00CE71D3" w:rsidRPr="002818FC" w:rsidRDefault="00CE71D3" w:rsidP="00C42F90">
      <w:pPr>
        <w:pStyle w:val="FootnoteText"/>
      </w:pPr>
      <w:r w:rsidRPr="002818FC">
        <w:rPr>
          <w:rStyle w:val="FootnoteReference"/>
          <w:rFonts w:ascii="Garamond" w:hAnsi="Garamond"/>
        </w:rPr>
        <w:footnoteRef/>
      </w:r>
      <w:r w:rsidRPr="002818FC">
        <w:t xml:space="preserve"> 38 Stat. 251, enacted December 23,</w:t>
      </w:r>
      <w:r w:rsidRPr="002818FC">
        <w:rPr>
          <w:bCs/>
        </w:rPr>
        <w:t>1913</w:t>
      </w:r>
      <w:r w:rsidRPr="002818FC">
        <w:t>, 12 U.S.C. §§ 221 to 522</w:t>
      </w:r>
    </w:p>
  </w:footnote>
  <w:footnote w:id="26">
    <w:p w14:paraId="4BACEEF8" w14:textId="53ABD2D5" w:rsidR="00CE71D3" w:rsidRPr="002818FC" w:rsidRDefault="00CE71D3" w:rsidP="00C42F90">
      <w:pPr>
        <w:pStyle w:val="FootnoteText"/>
      </w:pPr>
      <w:r w:rsidRPr="002818FC">
        <w:rPr>
          <w:rStyle w:val="FootnoteReference"/>
          <w:rFonts w:ascii="Garamond" w:hAnsi="Garamond"/>
        </w:rPr>
        <w:footnoteRef/>
      </w:r>
      <w:r w:rsidRPr="002818FC">
        <w:t xml:space="preserve"> Pub.L. 111–203, H.R. 4173 (2010)</w:t>
      </w:r>
    </w:p>
  </w:footnote>
  <w:footnote w:id="27">
    <w:p w14:paraId="1607971C" w14:textId="5E9ACD59" w:rsidR="00CE71D3" w:rsidRPr="002818FC" w:rsidRDefault="00CE71D3" w:rsidP="00C42F90">
      <w:pPr>
        <w:pStyle w:val="FootnoteText"/>
      </w:pPr>
      <w:r w:rsidRPr="002818FC">
        <w:rPr>
          <w:rStyle w:val="FootnoteReference"/>
          <w:rFonts w:ascii="Garamond" w:hAnsi="Garamond"/>
        </w:rPr>
        <w:footnoteRef/>
      </w:r>
      <w:r w:rsidRPr="002818FC">
        <w:t xml:space="preserve"> We thank Brian Feinstein for substantial help in orienting us to these literatures. He bears no responsibility for any errors of summary or interpretation, of course, but deserves our gratitude for sharing his expertise. </w:t>
      </w:r>
    </w:p>
  </w:footnote>
  <w:footnote w:id="28">
    <w:p w14:paraId="56A025C5" w14:textId="73F057B7" w:rsidR="00CE71D3" w:rsidRPr="002818FC" w:rsidRDefault="00CE71D3" w:rsidP="00C42F90">
      <w:pPr>
        <w:pStyle w:val="FootnoteText"/>
      </w:pPr>
      <w:r w:rsidRPr="002818FC">
        <w:rPr>
          <w:rStyle w:val="FootnoteReference"/>
          <w:rFonts w:ascii="Garamond" w:hAnsi="Garamond"/>
        </w:rPr>
        <w:footnoteRef/>
      </w:r>
      <w:r w:rsidRPr="002818FC">
        <w:t xml:space="preserve"> For the iconic account, see David R. Mayhew, Congress: The Electoral Connection (1974). For a related view, see William T. Bianco, Trust: Representatives and Constituents (1994) and Morris P. Fiorina, Retrospective Voting in American National Elections (1981)</w:t>
      </w:r>
    </w:p>
  </w:footnote>
  <w:footnote w:id="29">
    <w:p w14:paraId="19BC6791" w14:textId="212407E5" w:rsidR="00CE71D3" w:rsidRPr="002818FC" w:rsidRDefault="00CE71D3" w:rsidP="00C42F90">
      <w:pPr>
        <w:pStyle w:val="FootnoteText"/>
      </w:pPr>
      <w:r w:rsidRPr="002818FC">
        <w:rPr>
          <w:rStyle w:val="FootnoteReference"/>
          <w:rFonts w:ascii="Garamond" w:hAnsi="Garamond"/>
        </w:rPr>
        <w:footnoteRef/>
      </w:r>
      <w:r w:rsidRPr="002818FC">
        <w:t xml:space="preserve"> See Bawn et al, </w:t>
      </w:r>
      <w:r w:rsidRPr="002818FC">
        <w:rPr>
          <w:i/>
        </w:rPr>
        <w:t xml:space="preserve">supra </w:t>
      </w:r>
      <w:r w:rsidRPr="002818FC">
        <w:t>note X.</w:t>
      </w:r>
    </w:p>
  </w:footnote>
  <w:footnote w:id="30">
    <w:p w14:paraId="350FDF2E" w14:textId="77777777" w:rsidR="00CE71D3" w:rsidRPr="002818FC" w:rsidRDefault="00CE71D3" w:rsidP="00C42F90">
      <w:pPr>
        <w:pStyle w:val="FootnoteText"/>
      </w:pPr>
      <w:r w:rsidRPr="002818FC">
        <w:rPr>
          <w:rStyle w:val="FootnoteReference"/>
          <w:rFonts w:ascii="Garamond" w:hAnsi="Garamond"/>
        </w:rPr>
        <w:footnoteRef/>
      </w:r>
      <w:r w:rsidRPr="002818FC">
        <w:t xml:space="preserve"> R. Douglas Arnold, The Logic of Congressional Action (1992) </w:t>
      </w:r>
    </w:p>
  </w:footnote>
  <w:footnote w:id="31">
    <w:p w14:paraId="2388A0E2" w14:textId="77777777" w:rsidR="00CE71D3" w:rsidRPr="002818FC" w:rsidRDefault="00CE71D3" w:rsidP="00C42F90">
      <w:pPr>
        <w:pStyle w:val="FootnoteText"/>
      </w:pPr>
      <w:r w:rsidRPr="002818FC">
        <w:rPr>
          <w:rStyle w:val="FootnoteReference"/>
          <w:rFonts w:ascii="Garamond" w:hAnsi="Garamond"/>
        </w:rPr>
        <w:footnoteRef/>
      </w:r>
      <w:r w:rsidRPr="002818FC">
        <w:t xml:space="preserve"> Arnold, </w:t>
      </w:r>
      <w:r w:rsidRPr="002818FC">
        <w:rPr>
          <w:i/>
        </w:rPr>
        <w:t xml:space="preserve">supra </w:t>
      </w:r>
      <w:r w:rsidRPr="002818FC">
        <w:t xml:space="preserve">note XX at 117-18. </w:t>
      </w:r>
    </w:p>
  </w:footnote>
  <w:footnote w:id="32">
    <w:p w14:paraId="7A3921C5" w14:textId="77777777" w:rsidR="00CE71D3" w:rsidRPr="002818FC" w:rsidRDefault="00CE71D3" w:rsidP="00C42F90">
      <w:pPr>
        <w:pStyle w:val="FootnoteText"/>
        <w:rPr>
          <w:smallCaps/>
        </w:rPr>
      </w:pPr>
      <w:r w:rsidRPr="002818FC">
        <w:rPr>
          <w:rStyle w:val="FootnoteReference"/>
          <w:rFonts w:ascii="Garamond" w:hAnsi="Garamond"/>
        </w:rPr>
        <w:footnoteRef/>
      </w:r>
      <w:r w:rsidRPr="002818FC">
        <w:t xml:space="preserve"> Michael Cohen, James March, and Johan Olsen, “A Garbage Can Model of Organizational Choice,” 17 </w:t>
      </w:r>
      <w:r w:rsidRPr="002818FC">
        <w:rPr>
          <w:smallCaps/>
        </w:rPr>
        <w:t xml:space="preserve">Adm. Science Q. 1, 1 (1972). </w:t>
      </w:r>
    </w:p>
  </w:footnote>
  <w:footnote w:id="33">
    <w:p w14:paraId="2FA81625" w14:textId="2D233F8B" w:rsidR="00CE71D3" w:rsidRPr="002818FC" w:rsidRDefault="00CE71D3" w:rsidP="00C42F90">
      <w:pPr>
        <w:pStyle w:val="FootnoteText"/>
      </w:pPr>
      <w:r w:rsidRPr="002818FC">
        <w:rPr>
          <w:rStyle w:val="FootnoteReference"/>
          <w:rFonts w:ascii="Garamond" w:hAnsi="Garamond"/>
        </w:rPr>
        <w:footnoteRef/>
      </w:r>
      <w:r w:rsidRPr="002818FC">
        <w:t xml:space="preserve"> </w:t>
      </w:r>
      <w:r w:rsidRPr="002818FC">
        <w:rPr>
          <w:i/>
        </w:rPr>
        <w:t>Id</w:t>
      </w:r>
      <w:r w:rsidRPr="002818FC">
        <w:t>. at 2.</w:t>
      </w:r>
    </w:p>
  </w:footnote>
  <w:footnote w:id="34">
    <w:p w14:paraId="27BB42CE" w14:textId="12706A7A" w:rsidR="00CE71D3" w:rsidRPr="002818FC" w:rsidRDefault="00CE71D3" w:rsidP="00C42F90">
      <w:pPr>
        <w:pStyle w:val="FootnoteText"/>
      </w:pPr>
      <w:r w:rsidRPr="002818FC">
        <w:rPr>
          <w:rStyle w:val="FootnoteReference"/>
          <w:rFonts w:ascii="Garamond" w:hAnsi="Garamond"/>
        </w:rPr>
        <w:footnoteRef/>
      </w:r>
      <w:r w:rsidRPr="002818FC">
        <w:t xml:space="preserve"> </w:t>
      </w:r>
      <w:r w:rsidRPr="002818FC">
        <w:rPr>
          <w:i/>
        </w:rPr>
        <w:t>Id</w:t>
      </w:r>
      <w:r w:rsidRPr="002818FC">
        <w:t>.</w:t>
      </w:r>
    </w:p>
  </w:footnote>
  <w:footnote w:id="35">
    <w:p w14:paraId="2B0C85A3" w14:textId="3FA32F8F" w:rsidR="00CE71D3" w:rsidRPr="002818FC" w:rsidRDefault="00CE71D3" w:rsidP="00C42F90">
      <w:pPr>
        <w:pStyle w:val="FootnoteText"/>
      </w:pPr>
      <w:r w:rsidRPr="002818FC">
        <w:rPr>
          <w:rStyle w:val="FootnoteReference"/>
          <w:rFonts w:ascii="Garamond" w:hAnsi="Garamond"/>
        </w:rPr>
        <w:footnoteRef/>
      </w:r>
      <w:r w:rsidRPr="002818FC">
        <w:t xml:space="preserve"> Id.</w:t>
      </w:r>
    </w:p>
  </w:footnote>
  <w:footnote w:id="36">
    <w:p w14:paraId="69AA08B2" w14:textId="33680D12" w:rsidR="00CE71D3" w:rsidRPr="002818FC" w:rsidRDefault="00CE71D3" w:rsidP="00C42F90">
      <w:pPr>
        <w:pStyle w:val="FootnoteText"/>
      </w:pPr>
      <w:r w:rsidRPr="002818FC">
        <w:rPr>
          <w:rStyle w:val="FootnoteReference"/>
          <w:rFonts w:ascii="Garamond" w:hAnsi="Garamond"/>
        </w:rPr>
        <w:footnoteRef/>
      </w:r>
      <w:r w:rsidRPr="002818FC">
        <w:t xml:space="preserve"> John Kingdon, Agendas, Alternatives, and Public Policies (1984)</w:t>
      </w:r>
    </w:p>
  </w:footnote>
  <w:footnote w:id="37">
    <w:p w14:paraId="64302F0F" w14:textId="7B004551" w:rsidR="00CE71D3" w:rsidRPr="002818FC" w:rsidRDefault="00CE71D3" w:rsidP="00C42F90">
      <w:pPr>
        <w:pStyle w:val="FootnoteText"/>
      </w:pPr>
      <w:r w:rsidRPr="002818FC">
        <w:rPr>
          <w:rStyle w:val="FootnoteReference"/>
          <w:rFonts w:ascii="Garamond" w:hAnsi="Garamond"/>
        </w:rPr>
        <w:footnoteRef/>
      </w:r>
      <w:r w:rsidRPr="002818FC">
        <w:t xml:space="preserve"> The most prominent model in political science is probably </w:t>
      </w:r>
    </w:p>
  </w:footnote>
  <w:footnote w:id="38">
    <w:p w14:paraId="62DAFCBF" w14:textId="77777777" w:rsidR="00CE71D3" w:rsidRPr="002818FC" w:rsidRDefault="00CE71D3" w:rsidP="00C42F90">
      <w:pPr>
        <w:pStyle w:val="FootnoteText"/>
      </w:pPr>
      <w:r w:rsidRPr="002818FC">
        <w:rPr>
          <w:rStyle w:val="FootnoteReference"/>
          <w:rFonts w:ascii="Garamond" w:hAnsi="Garamond"/>
        </w:rPr>
        <w:footnoteRef/>
      </w:r>
      <w:r w:rsidRPr="002818FC">
        <w:t xml:space="preserve"> See, e.g., Roberta Romano, “Regulating in the Dark and a Postscript Assessment of the Iron Law of Financial Regulation,” 43 </w:t>
      </w:r>
      <w:r w:rsidRPr="002818FC">
        <w:rPr>
          <w:smallCaps/>
        </w:rPr>
        <w:t>Hofstra L. Rev.</w:t>
      </w:r>
      <w:r w:rsidRPr="002818FC">
        <w:t xml:space="preserve"> 25 (2014); Roberta Romano, “The Sarbanes-Oxley Act and the Making of Quack Corporate Governance,” 144 </w:t>
      </w:r>
      <w:r w:rsidRPr="002818FC">
        <w:rPr>
          <w:smallCaps/>
        </w:rPr>
        <w:t xml:space="preserve">Yale L.J. 1521 (2005); </w:t>
      </w:r>
      <w:r w:rsidRPr="002818FC">
        <w:t xml:space="preserve">Stephen Bainbridge, “Dodd-Frank: Quack Corporate Governance, Round II,” </w:t>
      </w:r>
      <w:r w:rsidRPr="002818FC">
        <w:rPr>
          <w:smallCaps/>
        </w:rPr>
        <w:t xml:space="preserve">Minn. L. Rev. 1779 (2010); Erik Gerding, Law, Bubbles, and Financial Regulation (2009); </w:t>
      </w:r>
      <w:r w:rsidRPr="002818FC">
        <w:t xml:space="preserve">John C. Coffee, Jr., “The Political Economy of Dodd-Frank: Why Financial Reform Tends to be Frustrated and Systemic Risk Perpetuated,” 97 </w:t>
      </w:r>
      <w:r w:rsidRPr="002818FC">
        <w:rPr>
          <w:smallCaps/>
        </w:rPr>
        <w:t xml:space="preserve">Cornell L. Rev. 1020 (2012). </w:t>
      </w:r>
    </w:p>
  </w:footnote>
  <w:footnote w:id="39">
    <w:p w14:paraId="061F21ED" w14:textId="3D9D7112" w:rsidR="00CE71D3" w:rsidRPr="002818FC" w:rsidRDefault="00CE71D3" w:rsidP="00C42F90">
      <w:pPr>
        <w:pStyle w:val="FootnoteText"/>
      </w:pPr>
      <w:r w:rsidRPr="002818FC">
        <w:rPr>
          <w:rStyle w:val="FootnoteReference"/>
          <w:rFonts w:ascii="Garamond" w:hAnsi="Garamond"/>
        </w:rPr>
        <w:footnoteRef/>
      </w:r>
      <w:r w:rsidRPr="002818FC">
        <w:t xml:space="preserve"> Stuart Banner, Anglo-American Securities Regulation: Cultural and Political Roots, 1690-1860 (1998).</w:t>
      </w:r>
    </w:p>
  </w:footnote>
  <w:footnote w:id="40">
    <w:p w14:paraId="79F05E06" w14:textId="50A1D022" w:rsidR="00CE71D3" w:rsidRPr="002818FC" w:rsidRDefault="00CE71D3" w:rsidP="00C42F90">
      <w:pPr>
        <w:pStyle w:val="FootnoteText"/>
      </w:pPr>
      <w:r w:rsidRPr="002818FC">
        <w:rPr>
          <w:rStyle w:val="FootnoteReference"/>
          <w:rFonts w:ascii="Garamond" w:hAnsi="Garamond"/>
        </w:rPr>
        <w:footnoteRef/>
      </w:r>
      <w:r w:rsidRPr="002818FC">
        <w:t xml:space="preserve"> Stuart Banner, What Causes New Securities Regulation? 300 Years of Evidence. </w:t>
      </w:r>
      <w:r w:rsidRPr="002818FC">
        <w:rPr>
          <w:smallCaps/>
        </w:rPr>
        <w:t>Wash. U. L. Q</w:t>
      </w:r>
      <w:r w:rsidRPr="002818FC">
        <w:t>. 849, 850 (1997)</w:t>
      </w:r>
    </w:p>
  </w:footnote>
  <w:footnote w:id="41">
    <w:p w14:paraId="4DE1EFE7" w14:textId="271A99DE" w:rsidR="00CE71D3" w:rsidRPr="002818FC" w:rsidRDefault="00CE71D3" w:rsidP="00C42F90">
      <w:pPr>
        <w:pStyle w:val="FootnoteText"/>
      </w:pPr>
      <w:r w:rsidRPr="002818FC">
        <w:rPr>
          <w:rStyle w:val="FootnoteReference"/>
          <w:rFonts w:ascii="Garamond" w:hAnsi="Garamond"/>
        </w:rPr>
        <w:footnoteRef/>
      </w:r>
      <w:r w:rsidRPr="002818FC">
        <w:t xml:space="preserve"> Romano, </w:t>
      </w:r>
      <w:r w:rsidRPr="002818FC">
        <w:rPr>
          <w:i/>
        </w:rPr>
        <w:t xml:space="preserve">supra </w:t>
      </w:r>
      <w:r w:rsidRPr="002818FC">
        <w:t xml:space="preserve">note XX </w:t>
      </w:r>
    </w:p>
  </w:footnote>
  <w:footnote w:id="42">
    <w:p w14:paraId="0D8C8885" w14:textId="20ACA433" w:rsidR="00CE71D3" w:rsidRPr="002818FC" w:rsidRDefault="00CE71D3" w:rsidP="00C42F90">
      <w:pPr>
        <w:pStyle w:val="FootnoteText"/>
      </w:pPr>
      <w:r w:rsidRPr="002818FC">
        <w:rPr>
          <w:rStyle w:val="FootnoteReference"/>
          <w:rFonts w:ascii="Garamond" w:hAnsi="Garamond"/>
        </w:rPr>
        <w:footnoteRef/>
      </w:r>
      <w:r w:rsidRPr="002818FC">
        <w:t xml:space="preserve"> </w:t>
      </w:r>
      <w:r w:rsidRPr="002818FC">
        <w:rPr>
          <w:smallCaps/>
        </w:rPr>
        <w:t xml:space="preserve">Kingdon, </w:t>
      </w:r>
      <w:r w:rsidRPr="002818FC">
        <w:rPr>
          <w:i/>
        </w:rPr>
        <w:t xml:space="preserve">supra </w:t>
      </w:r>
      <w:r w:rsidRPr="002818FC">
        <w:t>note XX at 20-21.</w:t>
      </w:r>
    </w:p>
  </w:footnote>
  <w:footnote w:id="43">
    <w:p w14:paraId="73654235" w14:textId="73487622" w:rsidR="00CE71D3" w:rsidRPr="002818FC" w:rsidRDefault="00CE71D3" w:rsidP="00C42F90">
      <w:pPr>
        <w:pStyle w:val="FootnoteText"/>
      </w:pPr>
      <w:r w:rsidRPr="002818FC">
        <w:rPr>
          <w:rStyle w:val="FootnoteReference"/>
          <w:rFonts w:ascii="Garamond" w:hAnsi="Garamond"/>
        </w:rPr>
        <w:footnoteRef/>
      </w:r>
      <w:r w:rsidRPr="002818FC">
        <w:t xml:space="preserve">  Romano, </w:t>
      </w:r>
      <w:r w:rsidRPr="002818FC">
        <w:rPr>
          <w:i/>
        </w:rPr>
        <w:t xml:space="preserve">supra </w:t>
      </w:r>
      <w:r w:rsidRPr="002818FC">
        <w:t>note XX at 1528</w:t>
      </w:r>
    </w:p>
  </w:footnote>
  <w:footnote w:id="44">
    <w:p w14:paraId="0EA9E58A" w14:textId="4AC3355F" w:rsidR="00CE71D3" w:rsidRPr="002818FC" w:rsidRDefault="00CE71D3" w:rsidP="00C42F90">
      <w:pPr>
        <w:pStyle w:val="FootnoteText"/>
        <w:rPr>
          <w:smallCaps/>
        </w:rPr>
      </w:pPr>
      <w:r w:rsidRPr="002818FC">
        <w:rPr>
          <w:rStyle w:val="FootnoteReference"/>
          <w:rFonts w:ascii="Garamond" w:hAnsi="Garamond"/>
        </w:rPr>
        <w:footnoteRef/>
      </w:r>
      <w:r w:rsidRPr="002818FC">
        <w:t xml:space="preserve"> Romano developed the ideas of sunset clauses at more length in Roberta Romano, “Regulating in the Dark,” 1 </w:t>
      </w:r>
      <w:r w:rsidRPr="002818FC">
        <w:rPr>
          <w:smallCaps/>
        </w:rPr>
        <w:t>J. Fin'l Persp. 1 (2013)</w:t>
      </w:r>
    </w:p>
  </w:footnote>
  <w:footnote w:id="45">
    <w:p w14:paraId="26D7A365" w14:textId="77777777" w:rsidR="00CE71D3" w:rsidRPr="002818FC" w:rsidRDefault="00CE71D3" w:rsidP="00C42F90">
      <w:pPr>
        <w:pStyle w:val="FootnoteText"/>
      </w:pPr>
      <w:r w:rsidRPr="002818FC">
        <w:rPr>
          <w:rStyle w:val="FootnoteReference"/>
          <w:rFonts w:ascii="Garamond" w:hAnsi="Garamond"/>
        </w:rPr>
        <w:footnoteRef/>
      </w:r>
      <w:r w:rsidRPr="002818FC">
        <w:t xml:space="preserve"> E.g., </w:t>
      </w:r>
      <w:r w:rsidRPr="002818FC">
        <w:rPr>
          <w:smallCaps/>
        </w:rPr>
        <w:t>Gerding</w:t>
      </w:r>
      <w:r w:rsidRPr="002818FC">
        <w:t xml:space="preserve">, </w:t>
      </w:r>
      <w:r w:rsidRPr="002818FC">
        <w:rPr>
          <w:i/>
        </w:rPr>
        <w:t xml:space="preserve">supra </w:t>
      </w:r>
      <w:r w:rsidRPr="002818FC">
        <w:t xml:space="preserve">note XX and Coffee, </w:t>
      </w:r>
      <w:r w:rsidRPr="002818FC">
        <w:rPr>
          <w:i/>
        </w:rPr>
        <w:t xml:space="preserve">supra </w:t>
      </w:r>
      <w:r w:rsidRPr="002818FC">
        <w:t>note XX.</w:t>
      </w:r>
    </w:p>
  </w:footnote>
  <w:footnote w:id="46">
    <w:p w14:paraId="39A41F60" w14:textId="480E5A0A" w:rsidR="00CE71D3" w:rsidRPr="002818FC" w:rsidRDefault="00CE71D3" w:rsidP="00C42F90">
      <w:pPr>
        <w:pStyle w:val="FootnoteText"/>
      </w:pPr>
      <w:r w:rsidRPr="002818FC">
        <w:rPr>
          <w:rStyle w:val="FootnoteReference"/>
          <w:rFonts w:ascii="Garamond" w:hAnsi="Garamond"/>
        </w:rPr>
        <w:footnoteRef/>
      </w:r>
      <w:r w:rsidRPr="002818FC">
        <w:t xml:space="preserve"> E.g., Romano (2014, 2005), </w:t>
      </w:r>
      <w:r w:rsidRPr="002818FC">
        <w:rPr>
          <w:i/>
        </w:rPr>
        <w:t xml:space="preserve">supra </w:t>
      </w:r>
      <w:r w:rsidRPr="002818FC">
        <w:t xml:space="preserve">note X and Bainbridge, </w:t>
      </w:r>
      <w:r w:rsidRPr="002818FC">
        <w:rPr>
          <w:i/>
        </w:rPr>
        <w:t xml:space="preserve">supra </w:t>
      </w:r>
      <w:r w:rsidRPr="002818FC">
        <w:t>note X.</w:t>
      </w:r>
    </w:p>
  </w:footnote>
  <w:footnote w:id="47">
    <w:p w14:paraId="68547CDD" w14:textId="172DDC4E" w:rsidR="00CE71D3" w:rsidRPr="002818FC" w:rsidRDefault="00CE71D3" w:rsidP="00C42F90">
      <w:pPr>
        <w:pStyle w:val="FootnoteText"/>
      </w:pPr>
      <w:r w:rsidRPr="002818FC">
        <w:rPr>
          <w:rStyle w:val="FootnoteReference"/>
          <w:rFonts w:ascii="Garamond" w:hAnsi="Garamond"/>
        </w:rPr>
        <w:footnoteRef/>
      </w:r>
      <w:r w:rsidRPr="002818FC">
        <w:t xml:space="preserve"> See </w:t>
      </w:r>
      <w:r w:rsidRPr="002818FC">
        <w:rPr>
          <w:smallCaps/>
        </w:rPr>
        <w:t>Gerding</w:t>
      </w:r>
      <w:r w:rsidRPr="002818FC">
        <w:t xml:space="preserve">, </w:t>
      </w:r>
      <w:r w:rsidRPr="002818FC">
        <w:rPr>
          <w:i/>
        </w:rPr>
        <w:t xml:space="preserve">supra </w:t>
      </w:r>
      <w:r w:rsidRPr="002818FC">
        <w:t xml:space="preserve">note XX.  </w:t>
      </w:r>
    </w:p>
  </w:footnote>
  <w:footnote w:id="48">
    <w:p w14:paraId="0C472612" w14:textId="77777777" w:rsidR="00CE71D3" w:rsidRPr="002818FC" w:rsidRDefault="00CE71D3" w:rsidP="00C42F90">
      <w:pPr>
        <w:pStyle w:val="FootnoteText"/>
      </w:pPr>
      <w:r w:rsidRPr="002818FC">
        <w:rPr>
          <w:rStyle w:val="FootnoteReference"/>
          <w:rFonts w:ascii="Garamond" w:hAnsi="Garamond"/>
        </w:rPr>
        <w:footnoteRef/>
      </w:r>
      <w:r w:rsidRPr="002818FC">
        <w:t xml:space="preserve"> Romano (2014), </w:t>
      </w:r>
      <w:r w:rsidRPr="002818FC">
        <w:rPr>
          <w:i/>
        </w:rPr>
        <w:t xml:space="preserve">supra </w:t>
      </w:r>
      <w:r w:rsidRPr="002818FC">
        <w:t>note 1 at 56.</w:t>
      </w:r>
    </w:p>
  </w:footnote>
  <w:footnote w:id="49">
    <w:p w14:paraId="59F554EB" w14:textId="6D9F2930" w:rsidR="00CE71D3" w:rsidRPr="002818FC" w:rsidRDefault="00CE71D3" w:rsidP="00C42F90">
      <w:pPr>
        <w:pStyle w:val="FootnoteText"/>
      </w:pPr>
      <w:r w:rsidRPr="002818FC">
        <w:rPr>
          <w:rStyle w:val="FootnoteReference"/>
          <w:rFonts w:ascii="Garamond" w:hAnsi="Garamond"/>
        </w:rPr>
        <w:footnoteRef/>
      </w:r>
      <w:r w:rsidRPr="002818FC">
        <w:t xml:space="preserve"> Conti-Brown &amp; Ohlrogge, </w:t>
      </w:r>
      <w:r w:rsidRPr="002818FC">
        <w:rPr>
          <w:i/>
        </w:rPr>
        <w:t xml:space="preserve">supra </w:t>
      </w:r>
      <w:r w:rsidRPr="002818FC">
        <w:t>note XX</w:t>
      </w:r>
    </w:p>
  </w:footnote>
  <w:footnote w:id="50">
    <w:p w14:paraId="3A49E82A" w14:textId="4C1946AB" w:rsidR="00CE71D3" w:rsidRPr="002818FC" w:rsidRDefault="00CE71D3" w:rsidP="00C42F90">
      <w:pPr>
        <w:pStyle w:val="FootnoteText"/>
      </w:pPr>
      <w:r w:rsidRPr="002818FC">
        <w:rPr>
          <w:rStyle w:val="FootnoteReference"/>
          <w:rFonts w:ascii="Garamond" w:hAnsi="Garamond"/>
        </w:rPr>
        <w:footnoteRef/>
      </w:r>
      <w:r w:rsidRPr="002818FC">
        <w:t xml:space="preserve"> </w:t>
      </w:r>
      <w:r w:rsidRPr="002818FC">
        <w:rPr>
          <w:smallCaps/>
        </w:rPr>
        <w:t xml:space="preserve">Calomiris &amp; Haber, </w:t>
      </w:r>
      <w:r w:rsidRPr="002818FC">
        <w:rPr>
          <w:i/>
        </w:rPr>
        <w:t xml:space="preserve">supra </w:t>
      </w:r>
      <w:r w:rsidRPr="002818FC">
        <w:t xml:space="preserve">note XX. This is a view widely shared and elaborated on by legal scholars, particularly after the crisis. See, e.g., </w:t>
      </w:r>
      <w:r w:rsidRPr="002818FC">
        <w:rPr>
          <w:smallCaps/>
        </w:rPr>
        <w:t>Mehrsa Baradaran, How the Other Half Banks: Exclusion, Exploitation, and the Threat to Democracy</w:t>
      </w:r>
      <w:r w:rsidRPr="002818FC">
        <w:t xml:space="preserve"> (2015), Morgan Ricks, John Crawford, and Lev Menand, “A Public Option for Bank Accounts (Or Central Banking for All), Vanderbilt Law Research Paper 18-33 (2019). For a deeper historical account of the public nature of money and debt, see </w:t>
      </w:r>
      <w:r w:rsidRPr="002818FC">
        <w:rPr>
          <w:smallCaps/>
        </w:rPr>
        <w:t>Christine Desan, Making Money: Coin, Currency, and the Coming of Capitalism (2015)</w:t>
      </w:r>
    </w:p>
  </w:footnote>
  <w:footnote w:id="51">
    <w:p w14:paraId="78227127" w14:textId="3AC5E102" w:rsidR="00CE71D3" w:rsidRPr="002818FC" w:rsidRDefault="00CE71D3" w:rsidP="00C42F90">
      <w:pPr>
        <w:pStyle w:val="FootnoteText"/>
      </w:pPr>
      <w:r w:rsidRPr="002818FC">
        <w:rPr>
          <w:rStyle w:val="FootnoteReference"/>
          <w:rFonts w:ascii="Garamond" w:hAnsi="Garamond"/>
        </w:rPr>
        <w:footnoteRef/>
      </w:r>
      <w:r w:rsidRPr="002818FC">
        <w:t xml:space="preserve"> </w:t>
      </w:r>
      <w:r w:rsidRPr="002818FC">
        <w:rPr>
          <w:smallCaps/>
        </w:rPr>
        <w:t xml:space="preserve">Calomiris &amp; Haber, </w:t>
      </w:r>
      <w:r w:rsidRPr="002818FC">
        <w:rPr>
          <w:i/>
        </w:rPr>
        <w:t xml:space="preserve">supra </w:t>
      </w:r>
      <w:r w:rsidRPr="002818FC">
        <w:t>note XX at 3.</w:t>
      </w:r>
    </w:p>
  </w:footnote>
  <w:footnote w:id="52">
    <w:p w14:paraId="5069F334" w14:textId="77777777" w:rsidR="00CE71D3" w:rsidRPr="002818FC" w:rsidRDefault="00CE71D3" w:rsidP="00C42F90">
      <w:pPr>
        <w:pStyle w:val="FootnoteText"/>
      </w:pPr>
      <w:r w:rsidRPr="002818FC">
        <w:rPr>
          <w:rStyle w:val="FootnoteReference"/>
          <w:rFonts w:ascii="Garamond" w:hAnsi="Garamond"/>
        </w:rPr>
        <w:footnoteRef/>
      </w:r>
      <w:r w:rsidRPr="002818FC">
        <w:t xml:space="preserve"> Charles W. Calomiris &amp; Stephen H. Haber, Fragile By Design: The Political Origins of Banking Crises and Scarce Credit (2014)</w:t>
      </w:r>
    </w:p>
  </w:footnote>
  <w:footnote w:id="53">
    <w:p w14:paraId="0BA3E0B8" w14:textId="77777777" w:rsidR="00CE71D3" w:rsidRPr="002818FC" w:rsidRDefault="00CE71D3" w:rsidP="00C42F90">
      <w:pPr>
        <w:pStyle w:val="FootnoteText"/>
      </w:pPr>
      <w:r w:rsidRPr="002818FC">
        <w:rPr>
          <w:rStyle w:val="FootnoteReference"/>
          <w:rFonts w:ascii="Garamond" w:hAnsi="Garamond"/>
        </w:rPr>
        <w:footnoteRef/>
      </w:r>
      <w:r w:rsidRPr="002818FC">
        <w:t xml:space="preserve"> </w:t>
      </w:r>
      <w:r w:rsidRPr="002818FC">
        <w:rPr>
          <w:i/>
        </w:rPr>
        <w:t>Id</w:t>
      </w:r>
      <w:r w:rsidRPr="002818FC">
        <w:t xml:space="preserve">. at 13. </w:t>
      </w:r>
    </w:p>
  </w:footnote>
  <w:footnote w:id="54">
    <w:p w14:paraId="28F0A99E" w14:textId="77777777" w:rsidR="00CE71D3" w:rsidRPr="002818FC" w:rsidRDefault="00CE71D3" w:rsidP="00C42F90">
      <w:pPr>
        <w:pStyle w:val="FootnoteText"/>
      </w:pPr>
      <w:r w:rsidRPr="002818FC">
        <w:rPr>
          <w:rStyle w:val="FootnoteReference"/>
          <w:rFonts w:ascii="Garamond" w:hAnsi="Garamond"/>
        </w:rPr>
        <w:footnoteRef/>
      </w:r>
      <w:r w:rsidRPr="002818FC">
        <w:t xml:space="preserve"> Id. </w:t>
      </w:r>
    </w:p>
  </w:footnote>
  <w:footnote w:id="55">
    <w:p w14:paraId="33A7E3C6" w14:textId="77777777" w:rsidR="00CE71D3" w:rsidRPr="002818FC" w:rsidRDefault="00CE71D3" w:rsidP="00C42F90">
      <w:pPr>
        <w:pStyle w:val="FootnoteText"/>
      </w:pPr>
      <w:r w:rsidRPr="002818FC">
        <w:rPr>
          <w:rStyle w:val="FootnoteReference"/>
          <w:rFonts w:ascii="Garamond" w:hAnsi="Garamond"/>
        </w:rPr>
        <w:footnoteRef/>
      </w:r>
      <w:r w:rsidRPr="002818FC">
        <w:t xml:space="preserve"> Calomiris &amp; Haber develop their theory of bank bargains and apply it throughout the world, coming to different conclusions. Our punctuated coalitional approach is surely applicable to contexts outside the United States, but we do not apply it anywhere else but in the U.S.  </w:t>
      </w:r>
    </w:p>
  </w:footnote>
  <w:footnote w:id="56">
    <w:p w14:paraId="3AFCA80D" w14:textId="4FFA0B0F" w:rsidR="00CE71D3" w:rsidRPr="002818FC" w:rsidRDefault="00CE71D3" w:rsidP="00C42F90">
      <w:pPr>
        <w:pStyle w:val="FootnoteText"/>
      </w:pPr>
      <w:r w:rsidRPr="002818FC">
        <w:rPr>
          <w:rStyle w:val="FootnoteReference"/>
          <w:rFonts w:ascii="Garamond" w:hAnsi="Garamond"/>
        </w:rPr>
        <w:footnoteRef/>
      </w:r>
      <w:r w:rsidRPr="002818FC">
        <w:t xml:space="preserve"> This evolutionary theory for banking beyond legislation is developed more fully in </w:t>
      </w:r>
      <w:r w:rsidRPr="002818FC">
        <w:rPr>
          <w:smallCaps/>
        </w:rPr>
        <w:t>Conti-Brown and Vanatta</w:t>
      </w:r>
      <w:r w:rsidRPr="002818FC">
        <w:t xml:space="preserve">, </w:t>
      </w:r>
      <w:r w:rsidRPr="002818FC">
        <w:rPr>
          <w:i/>
        </w:rPr>
        <w:t xml:space="preserve">supra </w:t>
      </w:r>
      <w:r w:rsidRPr="002818FC">
        <w:t xml:space="preserve">note XX. </w:t>
      </w:r>
    </w:p>
  </w:footnote>
  <w:footnote w:id="57">
    <w:p w14:paraId="22AADA5A" w14:textId="77777777" w:rsidR="00CE71D3" w:rsidRPr="002818FC" w:rsidRDefault="00CE71D3" w:rsidP="00C42F90">
      <w:pPr>
        <w:pStyle w:val="FootnoteText"/>
      </w:pPr>
      <w:r w:rsidRPr="002818FC">
        <w:rPr>
          <w:rStyle w:val="FootnoteReference"/>
          <w:rFonts w:ascii="Garamond" w:hAnsi="Garamond"/>
        </w:rPr>
        <w:footnoteRef/>
      </w:r>
      <w:r w:rsidRPr="002818FC">
        <w:t xml:space="preserve"> Stephen Jay Gould 1980 essay.1</w:t>
      </w:r>
    </w:p>
  </w:footnote>
  <w:footnote w:id="58">
    <w:p w14:paraId="5C422A63" w14:textId="5A0BA4B5" w:rsidR="00CE71D3" w:rsidRPr="002818FC" w:rsidRDefault="00CE71D3" w:rsidP="00C42F90">
      <w:pPr>
        <w:pStyle w:val="FootnoteText"/>
      </w:pPr>
      <w:r w:rsidRPr="002818FC">
        <w:rPr>
          <w:rStyle w:val="FootnoteReference"/>
          <w:rFonts w:ascii="Garamond" w:hAnsi="Garamond"/>
        </w:rPr>
        <w:footnoteRef/>
      </w:r>
      <w:r w:rsidRPr="002818FC">
        <w:t xml:space="preserve"> Most relevant for these purposes is Edward G. Carmines &amp; James A Stimson, Issue Evolution: Race and the Transformation of American Politics (1981), but see also Frank Baumgartner &amp; Bryan D. Jones, Agendas and Instability in American Politics (1993). In law, the theory has been applied to a wide variety of substantive areas. See Mark C. Niles, ‘Punctuated Equilibrium: A Mode for Administrative Evolution,” 44 J. Marshall L. Rev. 353 (2011) (applying the theory to administrative law) and Joseph A. Grundfest, “Punctuated Equilibria in the Evolution of United States Securities Regulation,” 8 Stan. J. L. Bus. &amp; Fin. 1 (2002) (applying the theory to securities regulation). </w:t>
      </w:r>
    </w:p>
  </w:footnote>
  <w:footnote w:id="59">
    <w:p w14:paraId="6A27BF84" w14:textId="44430144" w:rsidR="00CE71D3" w:rsidRPr="002818FC" w:rsidRDefault="00CE71D3" w:rsidP="00C42F90">
      <w:pPr>
        <w:pStyle w:val="FootnoteText"/>
        <w:rPr>
          <w:smallCaps/>
        </w:rPr>
      </w:pPr>
      <w:r w:rsidRPr="002818FC">
        <w:rPr>
          <w:rStyle w:val="FootnoteReference"/>
          <w:rFonts w:ascii="Garamond" w:hAnsi="Garamond"/>
        </w:rPr>
        <w:footnoteRef/>
      </w:r>
      <w:r w:rsidRPr="002818FC">
        <w:t xml:space="preserve"> Gabriel A. Almond and Stephen J. Genco, “Clouds, Clocks, and the Study of Politics,” 29 </w:t>
      </w:r>
      <w:r w:rsidRPr="002818FC">
        <w:rPr>
          <w:smallCaps/>
        </w:rPr>
        <w:t>World Politics 489 (1977)</w:t>
      </w:r>
    </w:p>
  </w:footnote>
  <w:footnote w:id="60">
    <w:p w14:paraId="44C74EFC" w14:textId="4838DEA2" w:rsidR="00CE71D3" w:rsidRPr="002818FC" w:rsidRDefault="00CE71D3" w:rsidP="00C42F90">
      <w:pPr>
        <w:pStyle w:val="FootnoteText"/>
      </w:pPr>
      <w:r w:rsidRPr="002818FC">
        <w:rPr>
          <w:rStyle w:val="FootnoteReference"/>
          <w:rFonts w:ascii="Garamond" w:hAnsi="Garamond"/>
        </w:rPr>
        <w:footnoteRef/>
      </w:r>
      <w:r w:rsidRPr="002818FC">
        <w:t xml:space="preserve">  Karl Popper, Of Clouds and Clocks, in Objective Knowledge: An Evolutionary Approach, 206-55 (Oxford Univ. Press rev. ed. 1979). </w:t>
      </w:r>
    </w:p>
  </w:footnote>
  <w:footnote w:id="61">
    <w:p w14:paraId="178A073C" w14:textId="534F5698" w:rsidR="00CE71D3" w:rsidRPr="002818FC" w:rsidRDefault="00CE71D3" w:rsidP="00C42F90">
      <w:pPr>
        <w:pStyle w:val="FootnoteText"/>
      </w:pPr>
      <w:r w:rsidRPr="002818FC">
        <w:rPr>
          <w:rStyle w:val="FootnoteReference"/>
          <w:rFonts w:ascii="Garamond" w:hAnsi="Garamond"/>
        </w:rPr>
        <w:footnoteRef/>
      </w:r>
      <w:r w:rsidRPr="002818FC">
        <w:t xml:space="preserve"> </w:t>
      </w:r>
      <w:r w:rsidRPr="002818FC">
        <w:rPr>
          <w:i/>
        </w:rPr>
        <w:t>Id</w:t>
      </w:r>
      <w:r w:rsidRPr="002818FC">
        <w:t>. at 490.</w:t>
      </w:r>
    </w:p>
  </w:footnote>
  <w:footnote w:id="62">
    <w:p w14:paraId="5442CBC5" w14:textId="72DB8985" w:rsidR="00CE71D3" w:rsidRPr="002818FC" w:rsidRDefault="00CE71D3" w:rsidP="00C42F90">
      <w:pPr>
        <w:pStyle w:val="FootnoteText"/>
      </w:pPr>
      <w:r w:rsidRPr="002818FC">
        <w:rPr>
          <w:rStyle w:val="FootnoteReference"/>
          <w:rFonts w:ascii="Garamond" w:hAnsi="Garamond"/>
        </w:rPr>
        <w:footnoteRef/>
      </w:r>
      <w:r w:rsidRPr="002818FC">
        <w:t xml:space="preserve"> For a more detailed account of the prelude to the Federal Reserve Act, and for a literature review on this deep secondary literature, see Peter Conti-Brown, “Central Banking and Institutional Change in the United States: Punctuated Equilibrium in the Development of Money, Finance, and Banking,” in </w:t>
      </w:r>
      <w:r w:rsidRPr="002818FC">
        <w:rPr>
          <w:smallCaps/>
        </w:rPr>
        <w:t>Research Handbook on Central Banking (</w:t>
      </w:r>
      <w:r w:rsidRPr="002818FC">
        <w:t xml:space="preserve">Peter Conti-Brown and Rosa Lastra, eds) (2018). </w:t>
      </w:r>
    </w:p>
  </w:footnote>
  <w:footnote w:id="63">
    <w:p w14:paraId="34595BB7" w14:textId="67F8B917" w:rsidR="00CE71D3" w:rsidRPr="002818FC" w:rsidRDefault="00CE71D3" w:rsidP="00C42F90">
      <w:pPr>
        <w:pStyle w:val="FootnoteText"/>
        <w:rPr>
          <w:smallCaps/>
        </w:rPr>
      </w:pPr>
      <w:r w:rsidRPr="002818FC">
        <w:rPr>
          <w:rStyle w:val="FootnoteReference"/>
          <w:rFonts w:ascii="Garamond" w:hAnsi="Garamond"/>
        </w:rPr>
        <w:footnoteRef/>
      </w:r>
      <w:r w:rsidRPr="002818FC">
        <w:t xml:space="preserve"> Michael Kazin’s biography of William Jennings Bryan is the richest account of that complex life. See </w:t>
      </w:r>
      <w:r w:rsidRPr="002818FC">
        <w:rPr>
          <w:smallCaps/>
        </w:rPr>
        <w:t>Michael Kazin, A Godly Hero: The Life of William Jennings Bryan (2007)</w:t>
      </w:r>
      <w:r w:rsidRPr="002818FC">
        <w:t xml:space="preserve">, especially pages 45-80. For more on the politics of currency reform during the leadup to the bimetallism debate, see </w:t>
      </w:r>
      <w:r w:rsidRPr="002818FC">
        <w:rPr>
          <w:smallCaps/>
        </w:rPr>
        <w:t xml:space="preserve">Irwin Unger, The Greenback Era: A Social and Political History of American Finance, 1865-1879. </w:t>
      </w:r>
      <w:r w:rsidRPr="002818FC">
        <w:t>On the politics of currency reform generally (and the late 19</w:t>
      </w:r>
      <w:r w:rsidRPr="002818FC">
        <w:rPr>
          <w:vertAlign w:val="superscript"/>
        </w:rPr>
        <w:t>th</w:t>
      </w:r>
      <w:r w:rsidRPr="002818FC">
        <w:t xml:space="preserve"> century in particular) see </w:t>
      </w:r>
      <w:r w:rsidRPr="002818FC">
        <w:rPr>
          <w:smallCaps/>
        </w:rPr>
        <w:t>Jeffrey Frieden, Currency Politics: The Political Economy of Exchange Rate Policy 104-137 (2015)</w:t>
      </w:r>
    </w:p>
  </w:footnote>
  <w:footnote w:id="64">
    <w:p w14:paraId="1893C9A2" w14:textId="77777777" w:rsidR="00CE71D3" w:rsidRPr="002818FC" w:rsidRDefault="00CE71D3" w:rsidP="00C42F90">
      <w:pPr>
        <w:pStyle w:val="FootnoteText"/>
        <w:rPr>
          <w:highlight w:val="yellow"/>
        </w:rPr>
      </w:pPr>
      <w:r w:rsidRPr="002818FC">
        <w:rPr>
          <w:rStyle w:val="FootnoteReference"/>
          <w:rFonts w:ascii="Garamond" w:hAnsi="Garamond"/>
        </w:rPr>
        <w:footnoteRef/>
      </w:r>
      <w:r w:rsidRPr="002818FC">
        <w:t xml:space="preserve"> Paul Warburg, “Defects and Needs of Our Banking System,” New York Times, January 6, 1907</w:t>
      </w:r>
    </w:p>
  </w:footnote>
  <w:footnote w:id="65">
    <w:p w14:paraId="788B0AF1" w14:textId="79FFD424" w:rsidR="00CE71D3" w:rsidRPr="002818FC" w:rsidRDefault="00CE71D3" w:rsidP="00C42F90">
      <w:pPr>
        <w:pStyle w:val="FootnoteText"/>
      </w:pPr>
      <w:r w:rsidRPr="002818FC">
        <w:rPr>
          <w:rStyle w:val="FootnoteReference"/>
          <w:rFonts w:ascii="Garamond" w:hAnsi="Garamond"/>
        </w:rPr>
        <w:footnoteRef/>
      </w:r>
      <w:r w:rsidRPr="002818FC">
        <w:t xml:space="preserve"> This narrative places Warburg at the center of the political discussion, but the intellectual streams active in the years ahead of the Fed’s passage were varied. For good overviews of those debates, see </w:t>
      </w:r>
      <w:r w:rsidRPr="002818FC">
        <w:rPr>
          <w:smallCaps/>
        </w:rPr>
        <w:t xml:space="preserve">Allan H. Meltzer, The History of the Federal Reserve System 5-23 (2003). </w:t>
      </w:r>
      <w:r w:rsidRPr="002818FC">
        <w:t xml:space="preserve">The intellectual history of some of these theories of money is well told in Nadav Orian Peer, “Negotiating the Lender-of-Last Resort: The 1913 Fed Act as a Debate Over Credit Distribution,” 15 </w:t>
      </w:r>
      <w:r w:rsidRPr="002818FC">
        <w:rPr>
          <w:smallCaps/>
        </w:rPr>
        <w:t xml:space="preserve">NYU J. L. &amp; Bus. (2019 </w:t>
      </w:r>
      <w:r w:rsidRPr="002818FC">
        <w:t xml:space="preserve">forthcoming). </w:t>
      </w:r>
    </w:p>
  </w:footnote>
  <w:footnote w:id="66">
    <w:p w14:paraId="17C0CBA7" w14:textId="27689C3A" w:rsidR="00CE71D3" w:rsidRPr="002818FC" w:rsidRDefault="00CE71D3" w:rsidP="00C42F90">
      <w:pPr>
        <w:pStyle w:val="FootnoteText"/>
        <w:rPr>
          <w:highlight w:val="yellow"/>
        </w:rPr>
      </w:pPr>
      <w:r w:rsidRPr="002818FC">
        <w:rPr>
          <w:rStyle w:val="FootnoteReference"/>
          <w:rFonts w:ascii="Garamond" w:hAnsi="Garamond"/>
        </w:rPr>
        <w:footnoteRef/>
      </w:r>
      <w:r w:rsidRPr="002818FC">
        <w:t xml:space="preserve"> For more on the follow-on effects for businesses banking in the trust system, see Carola Frydman &amp; Eric Hilt &amp; Lily Y. Zhou, “Economic Effects of Runs on Early ‘Shadow Banks’: Trust Companies and the Impact of the Panic of 1907,” 123 </w:t>
      </w:r>
      <w:r w:rsidRPr="002818FC">
        <w:rPr>
          <w:smallCaps/>
        </w:rPr>
        <w:t>J. Pol. Eco.</w:t>
      </w:r>
      <w:r w:rsidRPr="002818FC">
        <w:t xml:space="preserve"> 902 (2015)</w:t>
      </w:r>
    </w:p>
  </w:footnote>
  <w:footnote w:id="67">
    <w:p w14:paraId="5A51758C" w14:textId="6C9470D1" w:rsidR="00CE71D3" w:rsidRPr="002818FC" w:rsidRDefault="00CE71D3" w:rsidP="00C42F90">
      <w:pPr>
        <w:pStyle w:val="FootnoteText"/>
        <w:rPr>
          <w:highlight w:val="yellow"/>
        </w:rPr>
      </w:pPr>
      <w:r w:rsidRPr="002818FC">
        <w:rPr>
          <w:rStyle w:val="FootnoteReference"/>
          <w:rFonts w:ascii="Garamond" w:hAnsi="Garamond"/>
        </w:rPr>
        <w:footnoteRef/>
      </w:r>
      <w:r w:rsidRPr="002818FC">
        <w:t xml:space="preserve"> For more on the Panic of 1907, see Robert F. Bruner &amp; Sean D. Carr, The Panic of 1907: Lessons Learned from the Market’s Perfect Storm (2007)</w:t>
      </w:r>
      <w:r w:rsidRPr="002818FC">
        <w:rPr>
          <w:highlight w:val="yellow"/>
        </w:rPr>
        <w:t xml:space="preserve"> </w:t>
      </w:r>
    </w:p>
  </w:footnote>
  <w:footnote w:id="68">
    <w:p w14:paraId="02175853" w14:textId="5B1D66BE" w:rsidR="00CE71D3" w:rsidRPr="002818FC" w:rsidRDefault="00CE71D3" w:rsidP="00C42F90">
      <w:pPr>
        <w:pStyle w:val="FootnoteText"/>
        <w:rPr>
          <w:highlight w:val="yellow"/>
        </w:rPr>
      </w:pPr>
      <w:r w:rsidRPr="002818FC">
        <w:rPr>
          <w:rStyle w:val="FootnoteReference"/>
          <w:rFonts w:ascii="Garamond" w:hAnsi="Garamond"/>
        </w:rPr>
        <w:footnoteRef/>
      </w:r>
      <w:r w:rsidRPr="002818FC">
        <w:t xml:space="preserve"> See Peter Conti-Brown, “The Institutions of Federal Reserve Independence,” 32 </w:t>
      </w:r>
      <w:r w:rsidRPr="002818FC">
        <w:rPr>
          <w:smallCaps/>
        </w:rPr>
        <w:t>Yale J. Reg.</w:t>
      </w:r>
      <w:r w:rsidRPr="002818FC">
        <w:t xml:space="preserve"> 257, 276-77 (2015) for more analysis of this narrative. </w:t>
      </w:r>
    </w:p>
  </w:footnote>
  <w:footnote w:id="69">
    <w:p w14:paraId="54A4212C" w14:textId="4717E0F5" w:rsidR="00CE71D3" w:rsidRPr="002818FC" w:rsidRDefault="00CE71D3" w:rsidP="00C42F90">
      <w:pPr>
        <w:pStyle w:val="FootnoteText"/>
        <w:rPr>
          <w:highlight w:val="yellow"/>
        </w:rPr>
      </w:pPr>
      <w:r w:rsidRPr="002818FC">
        <w:rPr>
          <w:rStyle w:val="FootnoteReference"/>
          <w:rFonts w:ascii="Garamond" w:hAnsi="Garamond"/>
        </w:rPr>
        <w:footnoteRef/>
      </w:r>
      <w:r w:rsidRPr="002818FC">
        <w:t xml:space="preserve"> Herbert Satterlee—Morgan’s son-in-law, business associate, and attendant to the events of that fateful fall—was an early chronicler of the Morgan mythos. </w:t>
      </w:r>
      <w:r w:rsidRPr="002818FC">
        <w:rPr>
          <w:smallCaps/>
        </w:rPr>
        <w:t>Herbert Satterlee, J. Pierpont Morgan: An Intimate Portraint</w:t>
      </w:r>
      <w:r w:rsidRPr="002818FC">
        <w:t xml:space="preserve"> (1939). The memoirs of others, like Frank Vanderlip (from whom the quote about a sleeping Morgan is drawn) also helped cement the view. </w:t>
      </w:r>
      <w:r w:rsidRPr="002818FC">
        <w:rPr>
          <w:smallCaps/>
        </w:rPr>
        <w:t>Frank Vanderlip, From Farm Boy to Financier</w:t>
      </w:r>
      <w:r w:rsidRPr="002818FC">
        <w:t xml:space="preserve"> 174-75 (1935). Newspapers widely reported Morgan’s involvement at the time. For example, </w:t>
      </w:r>
      <w:r w:rsidRPr="002818FC">
        <w:rPr>
          <w:i/>
        </w:rPr>
        <w:t xml:space="preserve">The Washington Post, </w:t>
      </w:r>
      <w:r w:rsidRPr="002818FC">
        <w:t>“How and Why J. Pierpont Morgan Stopped the Panic of 1907,” November 10, 1907.</w:t>
      </w:r>
    </w:p>
  </w:footnote>
  <w:footnote w:id="70">
    <w:p w14:paraId="37997798" w14:textId="77777777" w:rsidR="00CE71D3" w:rsidRPr="002818FC" w:rsidRDefault="00CE71D3" w:rsidP="00C42F90">
      <w:pPr>
        <w:pStyle w:val="FootnoteText"/>
        <w:rPr>
          <w:highlight w:val="yellow"/>
        </w:rPr>
      </w:pPr>
      <w:r w:rsidRPr="002818FC">
        <w:rPr>
          <w:rStyle w:val="FootnoteReference"/>
          <w:rFonts w:ascii="Garamond" w:hAnsi="Garamond"/>
        </w:rPr>
        <w:footnoteRef/>
      </w:r>
      <w:r w:rsidRPr="002818FC">
        <w:t xml:space="preserve"> An Act to Amend the National Banking Laws, Public L. No 169, May 30, 1908., section 17. </w:t>
      </w:r>
    </w:p>
  </w:footnote>
  <w:footnote w:id="71">
    <w:p w14:paraId="158DCE33" w14:textId="40D8352E" w:rsidR="00CE71D3" w:rsidRPr="002818FC" w:rsidRDefault="00CE71D3" w:rsidP="00C42F90">
      <w:pPr>
        <w:pStyle w:val="FootnoteText"/>
        <w:rPr>
          <w:highlight w:val="yellow"/>
        </w:rPr>
      </w:pPr>
      <w:r w:rsidRPr="002818FC">
        <w:rPr>
          <w:rStyle w:val="FootnoteReference"/>
          <w:rFonts w:ascii="Garamond" w:hAnsi="Garamond"/>
        </w:rPr>
        <w:footnoteRef/>
      </w:r>
      <w:r w:rsidRPr="002818FC">
        <w:t xml:space="preserve"> </w:t>
      </w:r>
      <w:r w:rsidRPr="002818FC">
        <w:rPr>
          <w:i/>
        </w:rPr>
        <w:t>Id</w:t>
      </w:r>
      <w:r w:rsidRPr="002818FC">
        <w:t>. sec 18.</w:t>
      </w:r>
      <w:r w:rsidRPr="002818FC">
        <w:rPr>
          <w:highlight w:val="yellow"/>
        </w:rPr>
        <w:t xml:space="preserve"> </w:t>
      </w:r>
    </w:p>
  </w:footnote>
  <w:footnote w:id="72">
    <w:p w14:paraId="7C2C350B" w14:textId="7B63832E" w:rsidR="00CE71D3" w:rsidRPr="002818FC" w:rsidRDefault="00CE71D3" w:rsidP="00C42F90">
      <w:pPr>
        <w:pStyle w:val="FootnoteText"/>
      </w:pPr>
      <w:r w:rsidRPr="002818FC">
        <w:rPr>
          <w:rStyle w:val="FootnoteReference"/>
          <w:rFonts w:ascii="Garamond" w:hAnsi="Garamond"/>
        </w:rPr>
        <w:footnoteRef/>
      </w:r>
      <w:r w:rsidRPr="002818FC">
        <w:t xml:space="preserve"> J. Laurence Laughlin, “The Aldrich-Vreeland Act.” 16 </w:t>
      </w:r>
      <w:r w:rsidRPr="002818FC">
        <w:rPr>
          <w:iCs/>
          <w:smallCaps/>
        </w:rPr>
        <w:t>J. Pol. Eco</w:t>
      </w:r>
      <w:r w:rsidRPr="002818FC">
        <w:rPr>
          <w:i/>
          <w:iCs/>
        </w:rPr>
        <w:t xml:space="preserve">, </w:t>
      </w:r>
      <w:r w:rsidRPr="002818FC">
        <w:t>489 (1908).</w:t>
      </w:r>
    </w:p>
  </w:footnote>
  <w:footnote w:id="73">
    <w:p w14:paraId="46FBE1E1" w14:textId="27DFC63F" w:rsidR="00CE71D3" w:rsidRPr="002818FC" w:rsidRDefault="00CE71D3" w:rsidP="00C42F90">
      <w:pPr>
        <w:pStyle w:val="FootnoteText"/>
      </w:pPr>
      <w:r w:rsidRPr="002818FC">
        <w:rPr>
          <w:rStyle w:val="FootnoteReference"/>
          <w:rFonts w:ascii="Garamond" w:hAnsi="Garamond"/>
        </w:rPr>
        <w:footnoteRef/>
      </w:r>
      <w:r w:rsidRPr="002818FC">
        <w:t xml:space="preserve"> Roger Lowenstein, America’s Bank: The Epic Struggle to Create the Federal Reserve 79 (2015). </w:t>
      </w:r>
    </w:p>
  </w:footnote>
  <w:footnote w:id="74">
    <w:p w14:paraId="49F833F1" w14:textId="045BDD12" w:rsidR="00CE71D3" w:rsidRPr="002818FC" w:rsidRDefault="00CE71D3" w:rsidP="00C42F90">
      <w:pPr>
        <w:pStyle w:val="FootnoteText"/>
      </w:pPr>
      <w:r w:rsidRPr="002818FC">
        <w:rPr>
          <w:rStyle w:val="FootnoteReference"/>
          <w:rFonts w:ascii="Garamond" w:hAnsi="Garamond"/>
        </w:rPr>
        <w:footnoteRef/>
      </w:r>
      <w:r w:rsidRPr="002818FC">
        <w:t xml:space="preserve"> See part XX, </w:t>
      </w:r>
      <w:r w:rsidRPr="002818FC">
        <w:rPr>
          <w:i/>
        </w:rPr>
        <w:t xml:space="preserve">infra </w:t>
      </w:r>
    </w:p>
  </w:footnote>
  <w:footnote w:id="75">
    <w:p w14:paraId="15AAC4BC" w14:textId="1780ED39" w:rsidR="00CE71D3" w:rsidRPr="002818FC" w:rsidRDefault="00CE71D3" w:rsidP="00C42F90">
      <w:pPr>
        <w:pStyle w:val="FootnoteText"/>
        <w:rPr>
          <w:highlight w:val="yellow"/>
        </w:rPr>
      </w:pPr>
      <w:r w:rsidRPr="002818FC">
        <w:rPr>
          <w:rStyle w:val="FootnoteReference"/>
          <w:rFonts w:ascii="Garamond" w:hAnsi="Garamond"/>
        </w:rPr>
        <w:footnoteRef/>
      </w:r>
      <w:r w:rsidRPr="002818FC">
        <w:t xml:space="preserve"> See Lowenstein, </w:t>
      </w:r>
      <w:r w:rsidRPr="002818FC">
        <w:rPr>
          <w:i/>
        </w:rPr>
        <w:t xml:space="preserve">supra </w:t>
      </w:r>
      <w:r w:rsidRPr="002818FC">
        <w:t xml:space="preserve">note XX at 87. When Aldrich and Warburg met after the voyage, the discussion included Warburg’s peremptory conclusion that no central banking system could work in the United States. “Mr. Warburg, I like your ideas,” Aldrich said. “I have only one fault to find with them. . . . You are too timid about it. You say we cannot have a central bank, and I say we can.” Warburg was stunned by the reversal: Aldrich had been the one to oppose, on political principle, the idea. “It is easy to imagine, but hard to describe,” Warburg wrote, “the mixed feelings of joy and bewilderment into which this remark threw me, for suddenly I found our roles reversed.” </w:t>
      </w:r>
      <w:r w:rsidRPr="002818FC">
        <w:rPr>
          <w:smallCaps/>
        </w:rPr>
        <w:t xml:space="preserve">Paul M. Warburg, </w:t>
      </w:r>
      <w:r w:rsidRPr="002818FC">
        <w:rPr>
          <w:iCs/>
          <w:smallCaps/>
        </w:rPr>
        <w:t>The Federal Reserve System: Its Origin and Growth</w:t>
      </w:r>
      <w:r w:rsidRPr="002818FC">
        <w:rPr>
          <w:iCs/>
        </w:rPr>
        <w:t xml:space="preserve"> 56-57 (1930)</w:t>
      </w:r>
    </w:p>
  </w:footnote>
  <w:footnote w:id="76">
    <w:p w14:paraId="51B8EA9D" w14:textId="2BEDF757" w:rsidR="00CE71D3" w:rsidRPr="002818FC" w:rsidRDefault="00CE71D3" w:rsidP="00C42F90">
      <w:pPr>
        <w:pStyle w:val="FootnoteText"/>
      </w:pPr>
      <w:r w:rsidRPr="002818FC">
        <w:rPr>
          <w:rStyle w:val="FootnoteReference"/>
          <w:rFonts w:ascii="Garamond" w:hAnsi="Garamond"/>
        </w:rPr>
        <w:footnoteRef/>
      </w:r>
      <w:r w:rsidRPr="002818FC">
        <w:t xml:space="preserve"> The Jekyll Island meeting would become the mostly factual basis for wide-ranging conspiracy theories throughout the Fed’s history. It was first described in 1930 in Paul Warburg’s memoir, but then only as a “small group of men who, at Senator Aldrich’s request, were to take part in a several days’ conference with him, to discuss the form that the new banking bill should take.” Warburg, </w:t>
      </w:r>
      <w:r w:rsidRPr="002818FC">
        <w:rPr>
          <w:i/>
        </w:rPr>
        <w:t xml:space="preserve">supra </w:t>
      </w:r>
      <w:r w:rsidRPr="002818FC">
        <w:t xml:space="preserve">note XX at 58.  The more detailed description of the meeting—including its location—came in participant Frank Vanderlip’s memoir in 1935. See </w:t>
      </w:r>
      <w:r w:rsidRPr="002818FC">
        <w:rPr>
          <w:smallCaps/>
        </w:rPr>
        <w:t>Vanderlip</w:t>
      </w:r>
      <w:r w:rsidRPr="002818FC">
        <w:t xml:space="preserve"> </w:t>
      </w:r>
      <w:r w:rsidRPr="002818FC">
        <w:rPr>
          <w:i/>
        </w:rPr>
        <w:t xml:space="preserve">supra </w:t>
      </w:r>
      <w:r w:rsidRPr="002818FC">
        <w:t xml:space="preserve">note XX at 134-47. </w:t>
      </w:r>
    </w:p>
  </w:footnote>
  <w:footnote w:id="77">
    <w:p w14:paraId="5A853426" w14:textId="583F0864" w:rsidR="00CE71D3" w:rsidRPr="002818FC" w:rsidRDefault="00CE71D3" w:rsidP="00C42F90">
      <w:pPr>
        <w:pStyle w:val="FootnoteText"/>
        <w:rPr>
          <w:highlight w:val="yellow"/>
        </w:rPr>
      </w:pPr>
      <w:r w:rsidRPr="002818FC">
        <w:rPr>
          <w:rStyle w:val="FootnoteReference"/>
          <w:rFonts w:ascii="Garamond" w:hAnsi="Garamond"/>
        </w:rPr>
        <w:footnoteRef/>
      </w:r>
      <w:r w:rsidRPr="002818FC">
        <w:t xml:space="preserve"> </w:t>
      </w:r>
      <w:r w:rsidRPr="002818FC">
        <w:rPr>
          <w:smallCaps/>
        </w:rPr>
        <w:t>Warburg</w:t>
      </w:r>
      <w:r w:rsidRPr="002818FC">
        <w:t xml:space="preserve"> </w:t>
      </w:r>
      <w:r w:rsidRPr="002818FC">
        <w:rPr>
          <w:i/>
        </w:rPr>
        <w:t xml:space="preserve">supra </w:t>
      </w:r>
      <w:r w:rsidRPr="002818FC">
        <w:t xml:space="preserve">note XX at 59-60 </w:t>
      </w:r>
    </w:p>
  </w:footnote>
  <w:footnote w:id="78">
    <w:p w14:paraId="6F460DBA" w14:textId="1B02065F" w:rsidR="00CE71D3" w:rsidRPr="002818FC" w:rsidRDefault="00CE71D3" w:rsidP="00C42F90">
      <w:pPr>
        <w:pStyle w:val="FootnoteText"/>
        <w:rPr>
          <w:highlight w:val="yellow"/>
        </w:rPr>
      </w:pPr>
      <w:r w:rsidRPr="002818FC">
        <w:rPr>
          <w:rStyle w:val="FootnoteReference"/>
          <w:rFonts w:ascii="Garamond" w:hAnsi="Garamond"/>
        </w:rPr>
        <w:footnoteRef/>
      </w:r>
      <w:r w:rsidRPr="002818FC">
        <w:t xml:space="preserve"> Louis Brandeis, Other People’s Money and How the Bankers Use It (1914)</w:t>
      </w:r>
    </w:p>
  </w:footnote>
  <w:footnote w:id="79">
    <w:p w14:paraId="0D4AE6B9" w14:textId="27C2161E" w:rsidR="00CE71D3" w:rsidRPr="002818FC" w:rsidRDefault="00CE71D3" w:rsidP="00C42F90">
      <w:pPr>
        <w:pStyle w:val="FootnoteText"/>
      </w:pPr>
      <w:r w:rsidRPr="002818FC">
        <w:rPr>
          <w:rStyle w:val="FootnoteReference"/>
          <w:rFonts w:ascii="Garamond" w:hAnsi="Garamond"/>
          <w:smallCaps/>
        </w:rPr>
        <w:footnoteRef/>
      </w:r>
      <w:r w:rsidRPr="002818FC">
        <w:t xml:space="preserve"> Ron Chernow, The House of Morgan: An American Banking Dynasty and the Rise of Modern Finance. 154 (1990)</w:t>
      </w:r>
    </w:p>
  </w:footnote>
  <w:footnote w:id="80">
    <w:p w14:paraId="7C9B1F03" w14:textId="5FB41389" w:rsidR="00CE71D3" w:rsidRPr="002818FC" w:rsidRDefault="00CE71D3" w:rsidP="00C42F90">
      <w:pPr>
        <w:pStyle w:val="FootnoteText"/>
        <w:rPr>
          <w:highlight w:val="yellow"/>
        </w:rPr>
      </w:pPr>
      <w:r w:rsidRPr="002818FC">
        <w:rPr>
          <w:rStyle w:val="FootnoteReference"/>
          <w:rFonts w:ascii="Garamond" w:hAnsi="Garamond"/>
        </w:rPr>
        <w:footnoteRef/>
      </w:r>
      <w:r w:rsidRPr="002818FC">
        <w:t xml:space="preserve"> On the variety (or not) of the candidates’ political ideologies, see </w:t>
      </w:r>
      <w:r w:rsidRPr="002818FC">
        <w:rPr>
          <w:smallCaps/>
        </w:rPr>
        <w:t xml:space="preserve">Rogers Smith, </w:t>
      </w:r>
      <w:r w:rsidRPr="002818FC">
        <w:rPr>
          <w:iCs/>
          <w:smallCaps/>
        </w:rPr>
        <w:t>Civic Ideals: Conflicting Visions of Citizenship in U.S. History 410-11</w:t>
      </w:r>
      <w:r w:rsidRPr="002818FC">
        <w:rPr>
          <w:iCs/>
        </w:rPr>
        <w:t xml:space="preserve"> (1999)</w:t>
      </w:r>
      <w:r w:rsidRPr="002818FC">
        <w:t xml:space="preserve">, who views the candidates on a right-center-left Progressive spectrum, with Taft on the Right, Roosevelt in the center, and Wilson on the left (Smith isn’t as interested in Debs, but still locates him within this spectrum). Smith is disputing Kolko’s (1962) conception that clumped the candidates rather narrowly as so many conservatives. See </w:t>
      </w:r>
      <w:r w:rsidRPr="002818FC">
        <w:rPr>
          <w:smallCaps/>
        </w:rPr>
        <w:t xml:space="preserve">Gabriel Kolko, </w:t>
      </w:r>
      <w:r w:rsidRPr="002818FC">
        <w:rPr>
          <w:iCs/>
          <w:smallCaps/>
        </w:rPr>
        <w:t>The Triumph of Conservatism: A Reinterpretation of American History, 1900-1916 (1963)</w:t>
      </w:r>
      <w:r w:rsidRPr="002818FC">
        <w:t>.</w:t>
      </w:r>
    </w:p>
  </w:footnote>
  <w:footnote w:id="81">
    <w:p w14:paraId="6601BED5" w14:textId="28FC8C3D" w:rsidR="00CE71D3" w:rsidRPr="002818FC" w:rsidRDefault="00CE71D3" w:rsidP="00C42F90">
      <w:pPr>
        <w:pStyle w:val="FootnoteText"/>
      </w:pPr>
      <w:r w:rsidRPr="002818FC">
        <w:rPr>
          <w:rStyle w:val="FootnoteReference"/>
          <w:rFonts w:ascii="Garamond" w:hAnsi="Garamond"/>
        </w:rPr>
        <w:footnoteRef/>
      </w:r>
      <w:r w:rsidRPr="002818FC">
        <w:t xml:space="preserve"> John Milton Cooper, The Warrior and the Priest: Woodrow Wilson and Theodore Roosevelt 141 (1983). For a modern example of attention to the 1912 election, see Doris Kearns Goodwin, The Bully Pulpit: Theodore Roosevelt, William Howard Taft, and the Golden Age of Journalism (2014). </w:t>
      </w:r>
    </w:p>
  </w:footnote>
  <w:footnote w:id="82">
    <w:p w14:paraId="6C02DE3F" w14:textId="3469AF2A" w:rsidR="00CE71D3" w:rsidRPr="002818FC" w:rsidRDefault="00CE71D3" w:rsidP="00C42F90">
      <w:pPr>
        <w:pStyle w:val="FootnoteText"/>
      </w:pPr>
      <w:r w:rsidRPr="002818FC">
        <w:rPr>
          <w:rStyle w:val="FootnoteReference"/>
          <w:rFonts w:ascii="Garamond" w:hAnsi="Garamond"/>
        </w:rPr>
        <w:footnoteRef/>
      </w:r>
      <w:r w:rsidRPr="002818FC">
        <w:t xml:space="preserve"> Sidney Milkis, Theodore Roosevelt, the Progressive Party, and the Transformation of American Democracy ix (2009)</w:t>
      </w:r>
    </w:p>
  </w:footnote>
  <w:footnote w:id="83">
    <w:p w14:paraId="05DE8733" w14:textId="77777777" w:rsidR="00CE71D3" w:rsidRPr="002818FC" w:rsidRDefault="00CE71D3" w:rsidP="00C42F90">
      <w:pPr>
        <w:pStyle w:val="FootnoteText"/>
      </w:pPr>
      <w:r w:rsidRPr="002818FC">
        <w:rPr>
          <w:rStyle w:val="FootnoteReference"/>
          <w:rFonts w:ascii="Garamond" w:hAnsi="Garamond"/>
        </w:rPr>
        <w:footnoteRef/>
      </w:r>
      <w:r w:rsidRPr="002818FC">
        <w:t xml:space="preserve"> Democratic Party Platform of 1912, available from the American Presidency Project at UC Santa Barbara, http://www.presidency.ucsb.edu/ws/?pid=29590</w:t>
      </w:r>
    </w:p>
  </w:footnote>
  <w:footnote w:id="84">
    <w:p w14:paraId="44F56F24" w14:textId="77777777" w:rsidR="00CE71D3" w:rsidRPr="002818FC" w:rsidRDefault="00CE71D3" w:rsidP="00C42F90">
      <w:pPr>
        <w:pStyle w:val="FootnoteText"/>
      </w:pPr>
      <w:r w:rsidRPr="002818FC">
        <w:rPr>
          <w:rStyle w:val="FootnoteReference"/>
          <w:rFonts w:ascii="Garamond" w:hAnsi="Garamond"/>
        </w:rPr>
        <w:footnoteRef/>
      </w:r>
      <w:r w:rsidRPr="002818FC">
        <w:t xml:space="preserve"> Progressive Party Platform of 1912, available at http://www.pbs.org/wgbh/americanexperience/features/primary-resources/tr-progressive/</w:t>
      </w:r>
    </w:p>
  </w:footnote>
  <w:footnote w:id="85">
    <w:p w14:paraId="16B59A16" w14:textId="77777777" w:rsidR="00CE71D3" w:rsidRPr="002818FC" w:rsidRDefault="00CE71D3" w:rsidP="00C42F90">
      <w:pPr>
        <w:pStyle w:val="FootnoteText"/>
      </w:pPr>
      <w:r w:rsidRPr="002818FC">
        <w:rPr>
          <w:rStyle w:val="FootnoteReference"/>
          <w:rFonts w:ascii="Garamond" w:hAnsi="Garamond"/>
        </w:rPr>
        <w:footnoteRef/>
      </w:r>
      <w:r w:rsidRPr="002818FC">
        <w:t xml:space="preserve"> Republican Party Platform of 1912, available from the American Presidency Project at UC Santa Barbara, http://www.presidency.ucsb.edu/ws/?pid=29633</w:t>
      </w:r>
    </w:p>
  </w:footnote>
  <w:footnote w:id="86">
    <w:p w14:paraId="4FE507F2" w14:textId="029A18F4" w:rsidR="00CE71D3" w:rsidRPr="002818FC" w:rsidRDefault="00CE71D3" w:rsidP="00C42F90">
      <w:pPr>
        <w:pStyle w:val="FootnoteText"/>
      </w:pPr>
      <w:r w:rsidRPr="002818FC">
        <w:rPr>
          <w:rStyle w:val="FootnoteReference"/>
          <w:rFonts w:ascii="Garamond" w:hAnsi="Garamond"/>
        </w:rPr>
        <w:footnoteRef/>
      </w:r>
      <w:r w:rsidRPr="002818FC">
        <w:t xml:space="preserve"> Warburg </w:t>
      </w:r>
      <w:r w:rsidRPr="002818FC">
        <w:rPr>
          <w:i/>
        </w:rPr>
        <w:t xml:space="preserve">supra </w:t>
      </w:r>
      <w:r w:rsidRPr="002818FC">
        <w:t xml:space="preserve">note XX presents an entire second volume of a memoir devoted to defending the parallels. The effort motivated his 800 page, two-volume account. </w:t>
      </w:r>
    </w:p>
  </w:footnote>
  <w:footnote w:id="87">
    <w:p w14:paraId="206EB378" w14:textId="34A08A86" w:rsidR="00CE71D3" w:rsidRPr="002818FC" w:rsidRDefault="00CE71D3" w:rsidP="00C42F90">
      <w:pPr>
        <w:pStyle w:val="FootnoteText"/>
      </w:pPr>
      <w:r w:rsidRPr="002818FC">
        <w:rPr>
          <w:rStyle w:val="FootnoteReference"/>
          <w:rFonts w:ascii="Garamond" w:hAnsi="Garamond"/>
        </w:rPr>
        <w:footnoteRef/>
      </w:r>
      <w:r w:rsidRPr="002818FC">
        <w:t xml:space="preserve"> Henry Parker Willis, The Federal Reserve System (1923) and </w:t>
      </w:r>
      <w:r w:rsidRPr="002818FC">
        <w:rPr>
          <w:smallCaps/>
        </w:rPr>
        <w:t>Carter Glass, An Adventure in Constructive Finance</w:t>
      </w:r>
      <w:r w:rsidRPr="002818FC">
        <w:t xml:space="preserve"> (1927)</w:t>
      </w:r>
    </w:p>
  </w:footnote>
  <w:footnote w:id="88">
    <w:p w14:paraId="276204D9" w14:textId="15D89AC3" w:rsidR="00CE71D3" w:rsidRPr="002818FC" w:rsidRDefault="00CE71D3" w:rsidP="00C42F90">
      <w:pPr>
        <w:pStyle w:val="FootnoteText"/>
      </w:pPr>
      <w:r w:rsidRPr="002818FC">
        <w:rPr>
          <w:rStyle w:val="FootnoteReference"/>
          <w:rFonts w:ascii="Garamond" w:hAnsi="Garamond"/>
        </w:rPr>
        <w:footnoteRef/>
      </w:r>
      <w:r w:rsidRPr="002818FC">
        <w:t xml:space="preserve"> Indeed, in a historical moment just ten years after the paroxysms of politics of seen in the 1896 election, bimetallism was fully dead. Now the Secretary of State in the Wilson Administration, he largely took a hands-off approach to the legislative debates, with an important exception. Republicans inserted an hortatory amendment to the House bill that would reaffirm the U.S. commitment to the gold standard. There were enough Bryanites in the House for this to become problematic. But when Glass called on the Great Commoner for his support, Bryan freely gave it. Silver had become “irrelevant,” he said. The gold standard amendment was inserted into the House bill, which soared through on a vote of 285 to 85. See </w:t>
      </w:r>
      <w:r w:rsidRPr="002818FC">
        <w:rPr>
          <w:smallCaps/>
        </w:rPr>
        <w:t>Glass</w:t>
      </w:r>
      <w:r w:rsidRPr="002818FC">
        <w:t xml:space="preserve"> </w:t>
      </w:r>
      <w:r w:rsidRPr="002818FC">
        <w:rPr>
          <w:i/>
        </w:rPr>
        <w:t xml:space="preserve">supra </w:t>
      </w:r>
      <w:r w:rsidRPr="002818FC">
        <w:t xml:space="preserve">note XX at 153. See also </w:t>
      </w:r>
      <w:r w:rsidRPr="002818FC">
        <w:rPr>
          <w:smallCaps/>
        </w:rPr>
        <w:t>Lowenstein</w:t>
      </w:r>
      <w:r w:rsidRPr="002818FC">
        <w:t xml:space="preserve">, </w:t>
      </w:r>
      <w:r w:rsidRPr="002818FC">
        <w:rPr>
          <w:i/>
        </w:rPr>
        <w:t xml:space="preserve">supra </w:t>
      </w:r>
      <w:r w:rsidRPr="002818FC">
        <w:t>note XX at 230.</w:t>
      </w:r>
    </w:p>
  </w:footnote>
  <w:footnote w:id="89">
    <w:p w14:paraId="58031AF7" w14:textId="10211EB2" w:rsidR="00CE71D3" w:rsidRPr="002818FC" w:rsidRDefault="00CE71D3" w:rsidP="00C42F90">
      <w:pPr>
        <w:pStyle w:val="FootnoteText"/>
      </w:pPr>
      <w:r w:rsidRPr="002818FC">
        <w:rPr>
          <w:rStyle w:val="FootnoteReference"/>
          <w:rFonts w:ascii="Garamond" w:hAnsi="Garamond"/>
        </w:rPr>
        <w:footnoteRef/>
      </w:r>
      <w:r w:rsidRPr="002818FC">
        <w:t xml:space="preserve"> As quoted in Donald F. Kettl, Leadership at the Fed 22 (1986). </w:t>
      </w:r>
    </w:p>
  </w:footnote>
  <w:footnote w:id="90">
    <w:p w14:paraId="0A2E6AC6" w14:textId="77777777" w:rsidR="00CE71D3" w:rsidRPr="002818FC" w:rsidRDefault="00CE71D3" w:rsidP="00C42F90">
      <w:pPr>
        <w:pStyle w:val="FootnoteText"/>
      </w:pPr>
      <w:r w:rsidRPr="002818FC">
        <w:rPr>
          <w:rStyle w:val="FootnoteReference"/>
          <w:rFonts w:ascii="Garamond" w:hAnsi="Garamond"/>
        </w:rPr>
        <w:footnoteRef/>
      </w:r>
      <w:r w:rsidRPr="002818FC">
        <w:t xml:space="preserve"> “Wilson Plan Is Adopted,” The New York Times, July 29, 1913. </w:t>
      </w:r>
    </w:p>
  </w:footnote>
  <w:footnote w:id="91">
    <w:p w14:paraId="31C2D6C4" w14:textId="7C887396" w:rsidR="00CE71D3" w:rsidRPr="002818FC" w:rsidRDefault="00CE71D3" w:rsidP="00C42F90">
      <w:pPr>
        <w:pStyle w:val="FootnoteText"/>
      </w:pPr>
      <w:r w:rsidRPr="002818FC">
        <w:rPr>
          <w:rStyle w:val="FootnoteReference"/>
          <w:rFonts w:ascii="Garamond" w:hAnsi="Garamond"/>
        </w:rPr>
        <w:footnoteRef/>
      </w:r>
      <w:r w:rsidRPr="002818FC">
        <w:t xml:space="preserve"> </w:t>
      </w:r>
      <w:r w:rsidRPr="002818FC">
        <w:rPr>
          <w:smallCaps/>
        </w:rPr>
        <w:t>Glass</w:t>
      </w:r>
      <w:r w:rsidRPr="002818FC">
        <w:t>,</w:t>
      </w:r>
      <w:r w:rsidRPr="002818FC">
        <w:rPr>
          <w:i/>
        </w:rPr>
        <w:t xml:space="preserve"> supra </w:t>
      </w:r>
      <w:r w:rsidRPr="002818FC">
        <w:t xml:space="preserve">note XX at 112– 16. For Wilson’s intellectual debts to Bagehot, see </w:t>
      </w:r>
      <w:r w:rsidRPr="002818FC">
        <w:rPr>
          <w:smallCaps/>
        </w:rPr>
        <w:t xml:space="preserve">Woodrow Wilson, </w:t>
      </w:r>
      <w:r w:rsidRPr="002818FC">
        <w:rPr>
          <w:iCs/>
          <w:smallCaps/>
        </w:rPr>
        <w:t>Congressional Government: A Study in American Politics</w:t>
      </w:r>
      <w:r w:rsidRPr="002818FC">
        <w:t xml:space="preserve"> (1885/2006).</w:t>
      </w:r>
      <w:r w:rsidRPr="002818FC">
        <w:rPr>
          <w:highlight w:val="yellow"/>
        </w:rPr>
        <w:t xml:space="preserve"> </w:t>
      </w:r>
    </w:p>
  </w:footnote>
  <w:footnote w:id="92">
    <w:p w14:paraId="76B12A44" w14:textId="7645C4E0" w:rsidR="00CE71D3" w:rsidRPr="002818FC" w:rsidRDefault="00CE71D3" w:rsidP="00C42F90">
      <w:pPr>
        <w:pStyle w:val="FootnoteText"/>
        <w:rPr>
          <w:smallCaps/>
        </w:rPr>
      </w:pPr>
      <w:r w:rsidRPr="002818FC">
        <w:rPr>
          <w:rStyle w:val="FootnoteReference"/>
          <w:rFonts w:ascii="Garamond" w:hAnsi="Garamond"/>
        </w:rPr>
        <w:footnoteRef/>
      </w:r>
      <w:r w:rsidRPr="002818FC">
        <w:t xml:space="preserve"> Indeed, much of Bagehot’s book on central banking was about this precise governance question. See </w:t>
      </w:r>
      <w:r w:rsidRPr="002818FC">
        <w:rPr>
          <w:smallCaps/>
        </w:rPr>
        <w:t xml:space="preserve">Walter Bagehot, Lombard Street: A Description of the Money Market (1873). </w:t>
      </w:r>
    </w:p>
  </w:footnote>
  <w:footnote w:id="93">
    <w:p w14:paraId="1AB5F6D2" w14:textId="5AAEA6F7" w:rsidR="00CE71D3" w:rsidRPr="002818FC" w:rsidRDefault="00CE71D3" w:rsidP="00C42F90">
      <w:pPr>
        <w:pStyle w:val="FootnoteText"/>
        <w:rPr>
          <w:highlight w:val="yellow"/>
        </w:rPr>
      </w:pPr>
      <w:r w:rsidRPr="002818FC">
        <w:rPr>
          <w:rStyle w:val="FootnoteReference"/>
          <w:rFonts w:ascii="Garamond" w:hAnsi="Garamond"/>
        </w:rPr>
        <w:footnoteRef/>
      </w:r>
      <w:r w:rsidRPr="002818FC">
        <w:t xml:space="preserve"> For the statutory details, see House Report on Glass Bill (reprinted in </w:t>
      </w:r>
      <w:r w:rsidRPr="002818FC">
        <w:rPr>
          <w:smallCaps/>
        </w:rPr>
        <w:t xml:space="preserve">Glass, </w:t>
      </w:r>
      <w:r w:rsidRPr="002818FC">
        <w:rPr>
          <w:i/>
        </w:rPr>
        <w:t xml:space="preserve">supra </w:t>
      </w:r>
      <w:r w:rsidRPr="002818FC">
        <w:t>note</w:t>
      </w:r>
      <w:r w:rsidRPr="002818FC">
        <w:rPr>
          <w:smallCaps/>
        </w:rPr>
        <w:t xml:space="preserve"> XX</w:t>
      </w:r>
      <w:r w:rsidRPr="002818FC">
        <w:t xml:space="preserve">). Note that in the Glass Bill that passed the House of Representatives, the Secretary of Agriculture would also be an </w:t>
      </w:r>
      <w:r w:rsidRPr="002818FC">
        <w:rPr>
          <w:i/>
        </w:rPr>
        <w:t>ex officio</w:t>
      </w:r>
      <w:r w:rsidRPr="002818FC">
        <w:t xml:space="preserve"> member, with each member of the Board serving six years. The House version would have set the floor at twelve, and put no limit on the final number. Glass (1927). </w:t>
      </w:r>
    </w:p>
  </w:footnote>
  <w:footnote w:id="94">
    <w:p w14:paraId="51CA930E" w14:textId="77777777" w:rsidR="00CE71D3" w:rsidRPr="002818FC" w:rsidRDefault="00CE71D3" w:rsidP="00C42F90">
      <w:pPr>
        <w:pStyle w:val="FootnoteText"/>
      </w:pPr>
      <w:r w:rsidRPr="002818FC">
        <w:rPr>
          <w:rStyle w:val="FootnoteReference"/>
          <w:rFonts w:ascii="Garamond" w:hAnsi="Garamond"/>
        </w:rPr>
        <w:footnoteRef/>
      </w:r>
      <w:r w:rsidRPr="002818FC">
        <w:t xml:space="preserve"> Robert H. Wiebe, The Search for Order, 1877-1920 221 (1966)</w:t>
      </w:r>
    </w:p>
  </w:footnote>
  <w:footnote w:id="95">
    <w:p w14:paraId="1713E6EF" w14:textId="4F4C3A3C" w:rsidR="00CE71D3" w:rsidRPr="002818FC" w:rsidRDefault="00CE71D3" w:rsidP="00C42F90">
      <w:pPr>
        <w:pStyle w:val="FootnoteText"/>
      </w:pPr>
      <w:r w:rsidRPr="002818FC">
        <w:rPr>
          <w:rStyle w:val="FootnoteReference"/>
          <w:rFonts w:ascii="Garamond" w:hAnsi="Garamond"/>
        </w:rPr>
        <w:footnoteRef/>
      </w:r>
      <w:r w:rsidRPr="002818FC">
        <w:t xml:space="preserve"> Much more could and should be done applying punctuated coalitional analysis to the rich era of financial experimentation around the New Deal. The secondary literature is already deep on many of the individual key pieces of legislation. Paul Mahoney’s work on the legislative deals of the era are particularly useful. See, for instance, </w:t>
      </w:r>
      <w:r w:rsidRPr="002818FC">
        <w:rPr>
          <w:smallCaps/>
        </w:rPr>
        <w:t xml:space="preserve">Mahoney </w:t>
      </w:r>
      <w:r w:rsidRPr="002818FC">
        <w:rPr>
          <w:i/>
        </w:rPr>
        <w:t xml:space="preserve">supra </w:t>
      </w:r>
      <w:r w:rsidRPr="002818FC">
        <w:t xml:space="preserve">note XX; Paul Mahoney, “The Political Economy of the Securities Act of 1933,” 30 </w:t>
      </w:r>
      <w:r w:rsidRPr="002818FC">
        <w:rPr>
          <w:smallCaps/>
        </w:rPr>
        <w:t xml:space="preserve">J. Leg. Studs. 1 (2001); </w:t>
      </w:r>
      <w:r w:rsidRPr="002818FC">
        <w:t xml:space="preserve">and Paul Mahoney, “The Public Utility Pyramids,” 41 </w:t>
      </w:r>
      <w:r w:rsidRPr="002818FC">
        <w:rPr>
          <w:smallCaps/>
        </w:rPr>
        <w:t xml:space="preserve">J. Leg. Studs. 37 (2012). </w:t>
      </w:r>
      <w:r w:rsidRPr="002818FC">
        <w:t xml:space="preserve">See also John Morley’s definitive account of the political economy of the series of post-New Deal statutes governing the mutual funds industry, John Morley, “Collective Branding and the Origins of Investment Fund Regulation,” 6 </w:t>
      </w:r>
      <w:r w:rsidRPr="002818FC">
        <w:rPr>
          <w:smallCaps/>
        </w:rPr>
        <w:t>Va. Bus. L. Rev. 341 (2012).</w:t>
      </w:r>
      <w:r w:rsidRPr="002818FC">
        <w:t xml:space="preserve">  </w:t>
      </w:r>
    </w:p>
  </w:footnote>
  <w:footnote w:id="96">
    <w:p w14:paraId="71E20CC4" w14:textId="5EE207ED" w:rsidR="00CE71D3" w:rsidRPr="002818FC" w:rsidRDefault="00CE71D3" w:rsidP="00C42F90">
      <w:pPr>
        <w:pStyle w:val="FootnoteText"/>
      </w:pPr>
      <w:r w:rsidRPr="002818FC">
        <w:rPr>
          <w:rStyle w:val="FootnoteReference"/>
          <w:rFonts w:ascii="Garamond" w:hAnsi="Garamond"/>
        </w:rPr>
        <w:footnoteRef/>
      </w:r>
      <w:r w:rsidRPr="002818FC">
        <w:t xml:space="preserve"> Pub.L. 73–66, 48 Stat. 162, enacted June 16, 1933</w:t>
      </w:r>
    </w:p>
  </w:footnote>
  <w:footnote w:id="97">
    <w:p w14:paraId="64FFA33C" w14:textId="68719596" w:rsidR="00CE71D3" w:rsidRPr="002818FC" w:rsidRDefault="00CE71D3" w:rsidP="00C42F90">
      <w:pPr>
        <w:pStyle w:val="FootnoteText"/>
      </w:pPr>
      <w:r w:rsidRPr="002818FC">
        <w:rPr>
          <w:rStyle w:val="FootnoteReference"/>
          <w:rFonts w:ascii="Garamond" w:hAnsi="Garamond"/>
        </w:rPr>
        <w:footnoteRef/>
      </w:r>
      <w:r w:rsidRPr="002818FC">
        <w:t xml:space="preserve"> 2016 Democratic Party Platform, as approved by the Democratic Party Platform Committee, July 8-9, 2016, Orlando, FL, page 10 (“Democrats support a variety of ways to stop this from happening, including an updated and modernized version of Glass-Steagall as well as breaking up too-big-to-fail financial institutions that pose a systemic risk to the stability of our economy.”)</w:t>
      </w:r>
    </w:p>
  </w:footnote>
  <w:footnote w:id="98">
    <w:p w14:paraId="7365233E" w14:textId="73E8D1C7" w:rsidR="00CE71D3" w:rsidRPr="002818FC" w:rsidRDefault="00CE71D3" w:rsidP="00C42F90">
      <w:pPr>
        <w:pStyle w:val="FootnoteText"/>
      </w:pPr>
      <w:r w:rsidRPr="002818FC">
        <w:rPr>
          <w:rStyle w:val="FootnoteReference"/>
          <w:rFonts w:ascii="Garamond" w:hAnsi="Garamond"/>
        </w:rPr>
        <w:footnoteRef/>
      </w:r>
      <w:r w:rsidRPr="002818FC">
        <w:t xml:space="preserve"> 2016 Republican Party Platform, Republican National Convention (“We support reinstating the Glass-Steagall Act of 1933 which prohibits commercial banks from engaging in high-risk investment.”)</w:t>
      </w:r>
    </w:p>
  </w:footnote>
  <w:footnote w:id="99">
    <w:p w14:paraId="38117AB7" w14:textId="781281C9" w:rsidR="00CE71D3" w:rsidRPr="002818FC" w:rsidRDefault="00CE71D3" w:rsidP="00C42F90">
      <w:pPr>
        <w:pStyle w:val="FootnoteText"/>
      </w:pPr>
      <w:r w:rsidRPr="002818FC">
        <w:rPr>
          <w:rStyle w:val="FootnoteReference"/>
          <w:rFonts w:ascii="Garamond" w:hAnsi="Garamond"/>
        </w:rPr>
        <w:footnoteRef/>
      </w:r>
      <w:r w:rsidRPr="002818FC">
        <w:t xml:space="preserve"> The capital-market provisions of the Banking Act of 1933 have also spawned an extraordinary literature and political enthusiasms around whether this kind of market segmentation was desirable at the time or should now be reinstated. For the best accounts on both sides of that debate, see Paul Mahoney, “Deregulation and the Subprime Crisis,” 104 </w:t>
      </w:r>
      <w:r w:rsidRPr="002818FC">
        <w:rPr>
          <w:smallCaps/>
        </w:rPr>
        <w:t xml:space="preserve">Va. L. Rev. 235 (2018) </w:t>
      </w:r>
      <w:r w:rsidRPr="002818FC">
        <w:t xml:space="preserve"> cite this and Arthur Wilmarth, “The Road to Repeal of the Glass-Steagall Act,” 17 </w:t>
      </w:r>
      <w:r w:rsidRPr="002818FC">
        <w:rPr>
          <w:iCs/>
          <w:smallCaps/>
        </w:rPr>
        <w:t xml:space="preserve">Wake Forest J. of Bus. &amp; Intellectual Prop. L. </w:t>
      </w:r>
      <w:r w:rsidRPr="002818FC">
        <w:t xml:space="preserve">441 (2017) </w:t>
      </w:r>
    </w:p>
  </w:footnote>
  <w:footnote w:id="100">
    <w:p w14:paraId="3D735EEC" w14:textId="525CA989" w:rsidR="00CE71D3" w:rsidRPr="002818FC" w:rsidRDefault="00CE71D3" w:rsidP="00C42F90">
      <w:pPr>
        <w:pStyle w:val="FootnoteText"/>
      </w:pPr>
      <w:r w:rsidRPr="002818FC">
        <w:rPr>
          <w:rStyle w:val="FootnoteReference"/>
          <w:rFonts w:ascii="Garamond" w:hAnsi="Garamond"/>
        </w:rPr>
        <w:footnoteRef/>
      </w:r>
      <w:r w:rsidRPr="002818FC">
        <w:t xml:space="preserve"> See Charles Calomiris and Eugene White, “The Origins of Federal Deposit Insurance,” in </w:t>
      </w:r>
      <w:r w:rsidRPr="002818FC">
        <w:rPr>
          <w:smallCaps/>
        </w:rPr>
        <w:t>The Regulated Economy: A Historical Approach to Political Economy (</w:t>
      </w:r>
      <w:r w:rsidRPr="002818FC">
        <w:t xml:space="preserve">Claudia Goldin and Gary D. Libecap, eds.) (1994).  </w:t>
      </w:r>
    </w:p>
  </w:footnote>
  <w:footnote w:id="101">
    <w:p w14:paraId="4DC9D6C2" w14:textId="77777777" w:rsidR="00CE71D3" w:rsidRPr="002818FC" w:rsidRDefault="00CE71D3" w:rsidP="00C42F90">
      <w:pPr>
        <w:pStyle w:val="FootnoteText"/>
        <w:rPr>
          <w:highlight w:val="yellow"/>
        </w:rPr>
      </w:pPr>
      <w:r w:rsidRPr="002818FC">
        <w:rPr>
          <w:rStyle w:val="FootnoteReference"/>
          <w:rFonts w:ascii="Garamond" w:hAnsi="Garamond"/>
        </w:rPr>
        <w:footnoteRef/>
      </w:r>
      <w:r w:rsidRPr="002818FC">
        <w:t xml:space="preserve"> Democratic Party Platform, July 7, 1908</w:t>
      </w:r>
    </w:p>
  </w:footnote>
  <w:footnote w:id="102">
    <w:p w14:paraId="53409E67" w14:textId="77777777" w:rsidR="00CE71D3" w:rsidRPr="002818FC" w:rsidRDefault="00CE71D3" w:rsidP="00C42F90">
      <w:pPr>
        <w:pStyle w:val="FootnoteText"/>
      </w:pPr>
      <w:r w:rsidRPr="002818FC">
        <w:rPr>
          <w:rStyle w:val="FootnoteReference"/>
          <w:rFonts w:ascii="Garamond" w:hAnsi="Garamond"/>
        </w:rPr>
        <w:footnoteRef/>
      </w:r>
      <w:r w:rsidRPr="002818FC">
        <w:t xml:space="preserve"> As quoted in Richard T. McCulley, </w:t>
      </w:r>
      <w:r w:rsidRPr="002818FC">
        <w:rPr>
          <w:iCs/>
        </w:rPr>
        <w:t>Banks and Politics During the Progressive Era</w:t>
      </w:r>
      <w:r w:rsidRPr="002818FC">
        <w:t>. 160 (1992).</w:t>
      </w:r>
    </w:p>
  </w:footnote>
  <w:footnote w:id="103">
    <w:p w14:paraId="1E7B670C" w14:textId="75E3FACD" w:rsidR="00CE71D3" w:rsidRPr="002818FC" w:rsidRDefault="00CE71D3" w:rsidP="00C42F90">
      <w:pPr>
        <w:pStyle w:val="FootnoteText"/>
      </w:pPr>
      <w:r w:rsidRPr="002818FC">
        <w:rPr>
          <w:rStyle w:val="FootnoteReference"/>
          <w:rFonts w:ascii="Garamond" w:hAnsi="Garamond"/>
        </w:rPr>
        <w:footnoteRef/>
      </w:r>
      <w:r w:rsidRPr="002818FC">
        <w:t xml:space="preserve"> Many blamed deposit insurance for causing bank failures in, for example, South Dakota. “Arthur Evans, “South Dakota’s Pet Peeve Is State Banking,” </w:t>
      </w:r>
      <w:r w:rsidRPr="002818FC">
        <w:rPr>
          <w:i/>
          <w:iCs/>
        </w:rPr>
        <w:t>Chicago Daily Tribune</w:t>
      </w:r>
      <w:r w:rsidRPr="002818FC">
        <w:t xml:space="preserve">, Aug. 5, 1926. Many of the deposit insurance funds at the state level were completely insolvent before the great banking crises of the 1930-1933. </w:t>
      </w:r>
    </w:p>
  </w:footnote>
  <w:footnote w:id="104">
    <w:p w14:paraId="46BCCE6E" w14:textId="24BFA745" w:rsidR="00CE71D3" w:rsidRPr="002818FC" w:rsidRDefault="00CE71D3" w:rsidP="00C42F90">
      <w:pPr>
        <w:pStyle w:val="FootnoteText"/>
      </w:pPr>
      <w:r w:rsidRPr="002818FC">
        <w:rPr>
          <w:rStyle w:val="FootnoteReference"/>
          <w:rFonts w:ascii="Garamond" w:hAnsi="Garamond"/>
        </w:rPr>
        <w:footnoteRef/>
      </w:r>
      <w:r w:rsidRPr="002818FC">
        <w:t xml:space="preserve"> “Deposit Insurance, Again,” Bankers’ Magazine, vol 116, January 1928. </w:t>
      </w:r>
    </w:p>
  </w:footnote>
  <w:footnote w:id="105">
    <w:p w14:paraId="50F9A517" w14:textId="5B343924" w:rsidR="00CE71D3" w:rsidRPr="002818FC" w:rsidRDefault="00CE71D3" w:rsidP="00C42F90">
      <w:pPr>
        <w:pStyle w:val="FootnoteText"/>
        <w:rPr>
          <w:smallCaps/>
        </w:rPr>
      </w:pPr>
      <w:r w:rsidRPr="002818FC">
        <w:rPr>
          <w:rStyle w:val="FootnoteReference"/>
          <w:rFonts w:ascii="Garamond" w:hAnsi="Garamond"/>
        </w:rPr>
        <w:footnoteRef/>
      </w:r>
      <w:r w:rsidRPr="002818FC">
        <w:t xml:space="preserve"> Howard H. Preston, “The Banking Act of 1933,” </w:t>
      </w:r>
      <w:r w:rsidRPr="002818FC">
        <w:rPr>
          <w:smallCaps/>
        </w:rPr>
        <w:t>23 Am. Econ. Rev</w:t>
      </w:r>
      <w:r w:rsidRPr="002818FC">
        <w:t xml:space="preserve">. 585, 599 (1933). </w:t>
      </w:r>
    </w:p>
  </w:footnote>
  <w:footnote w:id="106">
    <w:p w14:paraId="02D04C60" w14:textId="3BF195C6" w:rsidR="00CE71D3" w:rsidRPr="002818FC" w:rsidRDefault="00CE71D3" w:rsidP="00C42F90">
      <w:pPr>
        <w:pStyle w:val="FootnoteText"/>
      </w:pPr>
      <w:r w:rsidRPr="002818FC">
        <w:rPr>
          <w:rStyle w:val="FootnoteReference"/>
          <w:rFonts w:ascii="Garamond" w:hAnsi="Garamond"/>
        </w:rPr>
        <w:footnoteRef/>
      </w:r>
      <w:r w:rsidRPr="002818FC">
        <w:t xml:space="preserve"> P.T. Hitchens, “The Guaranty of Bank Deposits: Sound Banking the Best Guaranty for Depositors,” </w:t>
      </w:r>
      <w:r w:rsidRPr="002818FC">
        <w:rPr>
          <w:smallCaps/>
        </w:rPr>
        <w:t>Barron’s</w:t>
      </w:r>
      <w:r w:rsidRPr="002818FC">
        <w:t xml:space="preserve">, May 30, 1932. </w:t>
      </w:r>
    </w:p>
  </w:footnote>
  <w:footnote w:id="107">
    <w:p w14:paraId="4FAE60C4" w14:textId="3D959A98" w:rsidR="00CE71D3" w:rsidRPr="002818FC" w:rsidRDefault="00CE71D3" w:rsidP="00C42F90">
      <w:pPr>
        <w:pStyle w:val="FootnoteText"/>
      </w:pPr>
      <w:r w:rsidRPr="002818FC">
        <w:rPr>
          <w:rStyle w:val="FootnoteReference"/>
          <w:rFonts w:ascii="Garamond" w:hAnsi="Garamond"/>
        </w:rPr>
        <w:footnoteRef/>
      </w:r>
      <w:r w:rsidRPr="002818FC">
        <w:t xml:space="preserve"> </w:t>
      </w:r>
      <w:r w:rsidRPr="002818FC">
        <w:rPr>
          <w:i/>
        </w:rPr>
        <w:t>Id</w:t>
      </w:r>
      <w:r w:rsidRPr="002818FC">
        <w:t xml:space="preserve">. </w:t>
      </w:r>
    </w:p>
  </w:footnote>
  <w:footnote w:id="108">
    <w:p w14:paraId="7903CB3A" w14:textId="3C718F7F" w:rsidR="00CE71D3" w:rsidRPr="002818FC" w:rsidRDefault="00CE71D3" w:rsidP="00C42F90">
      <w:pPr>
        <w:pStyle w:val="FootnoteText"/>
      </w:pPr>
      <w:r w:rsidRPr="002818FC">
        <w:rPr>
          <w:rStyle w:val="FootnoteReference"/>
          <w:rFonts w:ascii="Garamond" w:hAnsi="Garamond"/>
        </w:rPr>
        <w:footnoteRef/>
      </w:r>
      <w:r w:rsidRPr="002818FC">
        <w:t xml:space="preserve"> As quoted in Turner Catledge, “Platform Adopted with One Loud ‘Aye’”, New York Times, July 1, 1932, page 15. </w:t>
      </w:r>
    </w:p>
  </w:footnote>
  <w:footnote w:id="109">
    <w:p w14:paraId="6000F37E" w14:textId="3BECECE7" w:rsidR="00CE71D3" w:rsidRPr="002818FC" w:rsidRDefault="00CE71D3" w:rsidP="00C42F90">
      <w:pPr>
        <w:pStyle w:val="FootnoteText"/>
      </w:pPr>
      <w:r w:rsidRPr="002818FC">
        <w:rPr>
          <w:rStyle w:val="FootnoteReference"/>
          <w:rFonts w:ascii="Garamond" w:hAnsi="Garamond"/>
        </w:rPr>
        <w:footnoteRef/>
      </w:r>
      <w:r w:rsidRPr="002818FC">
        <w:t xml:space="preserve"> The definitive book on those hearings is the excellent Michael Perino, The Hellhound of Wall Street: How Ferdinand Pecora’s Investigation of the Great Crash Forever Changed American Finance. As Perino documents, the success of Pecora is itself an extraordinary series of fortunate events. For more on this theme, see Peter Conti-Brown, “The Accidental History of the Federal Securities and Banking Laws: A Review of </w:t>
      </w:r>
      <w:r w:rsidRPr="002818FC">
        <w:rPr>
          <w:i/>
        </w:rPr>
        <w:t>Michael Perino's Hellhound of Wall Street: How Ferdinand Pecora's Investigation of the Great Crash Forever Changed American Finance</w:t>
      </w:r>
      <w:r w:rsidRPr="002818FC">
        <w:t xml:space="preserve">,” 39 Sec. Reg. L. J. 1 (2011). </w:t>
      </w:r>
    </w:p>
  </w:footnote>
  <w:footnote w:id="110">
    <w:p w14:paraId="5C5E0CDE" w14:textId="68B78A50" w:rsidR="00CE71D3" w:rsidRPr="002818FC" w:rsidRDefault="00CE71D3" w:rsidP="00C42F90">
      <w:pPr>
        <w:pStyle w:val="FootnoteText"/>
      </w:pPr>
      <w:r w:rsidRPr="002818FC">
        <w:rPr>
          <w:rStyle w:val="FootnoteReference"/>
          <w:rFonts w:ascii="Garamond" w:hAnsi="Garamond"/>
        </w:rPr>
        <w:footnoteRef/>
      </w:r>
      <w:r w:rsidRPr="002818FC">
        <w:t xml:space="preserve"> William Silber, “Why Did FDR’s Bank Holiday Succeed,” FRBNY Ec. Pol'y Rev. 19, 20 (2009).  </w:t>
      </w:r>
    </w:p>
  </w:footnote>
  <w:footnote w:id="111">
    <w:p w14:paraId="76E15317" w14:textId="490D72AC" w:rsidR="00CE71D3" w:rsidRPr="002818FC" w:rsidRDefault="00CE71D3" w:rsidP="00C42F90">
      <w:pPr>
        <w:pStyle w:val="FootnoteText"/>
      </w:pPr>
      <w:r w:rsidRPr="002818FC">
        <w:rPr>
          <w:rStyle w:val="FootnoteReference"/>
          <w:rFonts w:ascii="Garamond" w:hAnsi="Garamond"/>
        </w:rPr>
        <w:footnoteRef/>
      </w:r>
      <w:r w:rsidRPr="002818FC">
        <w:t xml:space="preserve"> See </w:t>
      </w:r>
      <w:r w:rsidRPr="002818FC">
        <w:rPr>
          <w:smallCaps/>
        </w:rPr>
        <w:t>Conti-Brown &amp; Vanatta</w:t>
      </w:r>
      <w:r w:rsidRPr="002818FC">
        <w:t xml:space="preserve">, </w:t>
      </w:r>
      <w:r w:rsidRPr="002818FC">
        <w:rPr>
          <w:i/>
        </w:rPr>
        <w:t xml:space="preserve">supra </w:t>
      </w:r>
      <w:r w:rsidRPr="002818FC">
        <w:t xml:space="preserve">note XX, chapter 3. </w:t>
      </w:r>
    </w:p>
  </w:footnote>
  <w:footnote w:id="112">
    <w:p w14:paraId="4073AB76" w14:textId="2D3A39D4" w:rsidR="00CE71D3" w:rsidRPr="002818FC" w:rsidRDefault="00CE71D3" w:rsidP="00C42F90">
      <w:pPr>
        <w:pStyle w:val="FootnoteText"/>
      </w:pPr>
      <w:r w:rsidRPr="002818FC">
        <w:rPr>
          <w:rStyle w:val="FootnoteReference"/>
          <w:rFonts w:ascii="Garamond" w:hAnsi="Garamond"/>
        </w:rPr>
        <w:footnoteRef/>
      </w:r>
      <w:r w:rsidRPr="002818FC">
        <w:t xml:space="preserve"> </w:t>
      </w:r>
      <w:r w:rsidRPr="002818FC">
        <w:rPr>
          <w:i/>
        </w:rPr>
        <w:t>Id</w:t>
      </w:r>
      <w:r w:rsidRPr="002818FC">
        <w:t>.</w:t>
      </w:r>
    </w:p>
  </w:footnote>
  <w:footnote w:id="113">
    <w:p w14:paraId="233F0DD5" w14:textId="1571CE16" w:rsidR="00CE71D3" w:rsidRPr="002818FC" w:rsidRDefault="00CE71D3" w:rsidP="00C42F90">
      <w:pPr>
        <w:pStyle w:val="FootnoteText"/>
      </w:pPr>
      <w:r w:rsidRPr="002818FC">
        <w:rPr>
          <w:rStyle w:val="FootnoteReference"/>
          <w:rFonts w:ascii="Garamond" w:hAnsi="Garamond"/>
        </w:rPr>
        <w:footnoteRef/>
      </w:r>
      <w:r w:rsidRPr="002818FC">
        <w:t xml:space="preserve"> Hearings before the Committee on Banking and Currency, House of Representatives, Eighty-First Congress, Second Session on S. 2822, July 20-22, 1950, page 21. </w:t>
      </w:r>
    </w:p>
  </w:footnote>
  <w:footnote w:id="114">
    <w:p w14:paraId="4D2E1F35" w14:textId="0F85E378" w:rsidR="00CE71D3" w:rsidRPr="002818FC" w:rsidRDefault="00CE71D3" w:rsidP="00C42F90">
      <w:pPr>
        <w:pStyle w:val="FootnoteText"/>
      </w:pPr>
      <w:r w:rsidRPr="002818FC">
        <w:rPr>
          <w:rStyle w:val="FootnoteReference"/>
          <w:rFonts w:ascii="Garamond" w:hAnsi="Garamond"/>
        </w:rPr>
        <w:footnoteRef/>
      </w:r>
      <w:r w:rsidRPr="002818FC">
        <w:t xml:space="preserve"> </w:t>
      </w:r>
      <w:r w:rsidRPr="002818FC">
        <w:rPr>
          <w:smallCaps/>
        </w:rPr>
        <w:t>Milton Friedman and Anna Schwartz, A Monetary History of the United States, 1867-1960</w:t>
      </w:r>
      <w:r w:rsidRPr="002818FC">
        <w:t xml:space="preserve"> 434 (1963). </w:t>
      </w:r>
    </w:p>
  </w:footnote>
  <w:footnote w:id="115">
    <w:p w14:paraId="55B922DB" w14:textId="1D942CC2" w:rsidR="00CE71D3" w:rsidRPr="002818FC" w:rsidRDefault="00CE71D3" w:rsidP="00C42F90">
      <w:pPr>
        <w:pStyle w:val="FootnoteText"/>
        <w:rPr>
          <w:smallCaps/>
        </w:rPr>
      </w:pPr>
      <w:r w:rsidRPr="002818FC">
        <w:rPr>
          <w:rStyle w:val="FootnoteReference"/>
          <w:rFonts w:ascii="Garamond" w:hAnsi="Garamond"/>
        </w:rPr>
        <w:footnoteRef/>
      </w:r>
      <w:r w:rsidRPr="002818FC">
        <w:t xml:space="preserve"> </w:t>
      </w:r>
      <w:r w:rsidRPr="002818FC">
        <w:rPr>
          <w:smallCaps/>
        </w:rPr>
        <w:t>David Kennedy, Freedom from Fear: The American People in Depression and War, 1929-1945 134-35 (1999)</w:t>
      </w:r>
    </w:p>
  </w:footnote>
  <w:footnote w:id="116">
    <w:p w14:paraId="2A3BFB57" w14:textId="4A7555CD" w:rsidR="00CE71D3" w:rsidRPr="002818FC" w:rsidRDefault="00CE71D3" w:rsidP="00C42F90">
      <w:pPr>
        <w:pStyle w:val="FootnoteText"/>
      </w:pPr>
      <w:r w:rsidRPr="002818FC">
        <w:rPr>
          <w:rStyle w:val="FootnoteReference"/>
          <w:rFonts w:ascii="Garamond" w:hAnsi="Garamond"/>
        </w:rPr>
        <w:footnoteRef/>
      </w:r>
      <w:r w:rsidRPr="002818FC">
        <w:t xml:space="preserve"> Indeed, the experience of deposit insurance has prompted some commentators to extend the idea to many more classes of assets. See, e.g., </w:t>
      </w:r>
      <w:r w:rsidRPr="002818FC">
        <w:rPr>
          <w:smallCaps/>
        </w:rPr>
        <w:t>Gary B. Gorton, Slapped by the Invisible Hand: The Panic of 2007</w:t>
      </w:r>
      <w:r w:rsidRPr="002818FC">
        <w:t xml:space="preserve"> (2010) and </w:t>
      </w:r>
      <w:r w:rsidRPr="002818FC">
        <w:rPr>
          <w:smallCaps/>
        </w:rPr>
        <w:t>Morgan Ricks, The Money Problem: Rethinking Financial Regulation</w:t>
      </w:r>
      <w:r w:rsidRPr="002818FC">
        <w:t xml:space="preserve"> (2016)</w:t>
      </w:r>
    </w:p>
  </w:footnote>
  <w:footnote w:id="117">
    <w:p w14:paraId="770BDBA5" w14:textId="7792EF17" w:rsidR="00CE71D3" w:rsidRPr="002818FC" w:rsidRDefault="00CE71D3" w:rsidP="00C42F90">
      <w:pPr>
        <w:pStyle w:val="FootnoteText"/>
      </w:pPr>
      <w:r w:rsidRPr="002818FC">
        <w:rPr>
          <w:rStyle w:val="FootnoteReference"/>
          <w:rFonts w:ascii="Garamond" w:hAnsi="Garamond"/>
        </w:rPr>
        <w:footnoteRef/>
      </w:r>
      <w:r w:rsidRPr="002818FC">
        <w:t xml:space="preserve"> See Part IV, </w:t>
      </w:r>
      <w:r w:rsidRPr="002818FC">
        <w:rPr>
          <w:i/>
        </w:rPr>
        <w:t>infra</w:t>
      </w:r>
      <w:r w:rsidRPr="002818FC">
        <w:t>.</w:t>
      </w:r>
    </w:p>
  </w:footnote>
  <w:footnote w:id="118">
    <w:p w14:paraId="7AF33271" w14:textId="26589A8F" w:rsidR="00CE71D3" w:rsidRPr="002818FC" w:rsidRDefault="00CE71D3" w:rsidP="00C42F90">
      <w:pPr>
        <w:pStyle w:val="FootnoteText"/>
      </w:pPr>
      <w:r w:rsidRPr="002818FC">
        <w:rPr>
          <w:rStyle w:val="FootnoteReference"/>
          <w:rFonts w:ascii="Garamond" w:hAnsi="Garamond"/>
        </w:rPr>
        <w:footnoteRef/>
      </w:r>
      <w:r w:rsidRPr="002818FC">
        <w:t xml:space="preserve"> See Mahoney, </w:t>
      </w:r>
      <w:r w:rsidRPr="002818FC">
        <w:rPr>
          <w:i/>
        </w:rPr>
        <w:t xml:space="preserve">supra </w:t>
      </w:r>
      <w:r w:rsidRPr="002818FC">
        <w:t xml:space="preserve">note XX. </w:t>
      </w:r>
    </w:p>
  </w:footnote>
  <w:footnote w:id="119">
    <w:p w14:paraId="41EFDF34" w14:textId="44B92AF0" w:rsidR="00CE71D3" w:rsidRPr="002818FC" w:rsidRDefault="00CE71D3" w:rsidP="00C42F90">
      <w:pPr>
        <w:pStyle w:val="FootnoteText"/>
      </w:pPr>
      <w:r w:rsidRPr="002818FC">
        <w:rPr>
          <w:rStyle w:val="FootnoteReference"/>
          <w:rFonts w:ascii="Garamond" w:hAnsi="Garamond"/>
        </w:rPr>
        <w:footnoteRef/>
      </w:r>
      <w:r w:rsidRPr="002818FC">
        <w:t xml:space="preserve"> See </w:t>
      </w:r>
      <w:r w:rsidRPr="002818FC">
        <w:rPr>
          <w:smallCaps/>
        </w:rPr>
        <w:t>James F. Simon, FDR and Chief Justice Hughes: The President, the Supreme Court, and the Epic Battle Over the New Deal (2012)</w:t>
      </w:r>
      <w:r w:rsidRPr="002818FC">
        <w:t xml:space="preserve">. </w:t>
      </w:r>
    </w:p>
  </w:footnote>
  <w:footnote w:id="120">
    <w:p w14:paraId="08622AE1" w14:textId="6AC35446" w:rsidR="00CE71D3" w:rsidRPr="002818FC" w:rsidRDefault="00CE71D3" w:rsidP="00C42F90">
      <w:pPr>
        <w:pStyle w:val="FootnoteText"/>
      </w:pPr>
      <w:r w:rsidRPr="002818FC">
        <w:rPr>
          <w:rStyle w:val="FootnoteReference"/>
          <w:rFonts w:ascii="Garamond" w:hAnsi="Garamond"/>
        </w:rPr>
        <w:footnoteRef/>
      </w:r>
      <w:r w:rsidRPr="002818FC">
        <w:t xml:space="preserve"> See </w:t>
      </w:r>
      <w:r w:rsidRPr="002818FC">
        <w:rPr>
          <w:smallCaps/>
        </w:rPr>
        <w:t>James T. Patterson, Congressional Conservatism and the New Deal: The Growth of the Conservative Coalition in Congress, 1933-1939</w:t>
      </w:r>
      <w:r w:rsidRPr="002818FC">
        <w:t xml:space="preserve"> (1967) </w:t>
      </w:r>
    </w:p>
  </w:footnote>
  <w:footnote w:id="121">
    <w:p w14:paraId="5F677CDA" w14:textId="7C5B5E51" w:rsidR="00CE71D3" w:rsidRPr="002818FC" w:rsidRDefault="00CE71D3" w:rsidP="00C42F90">
      <w:pPr>
        <w:pStyle w:val="FootnoteText"/>
      </w:pPr>
      <w:r w:rsidRPr="002818FC">
        <w:rPr>
          <w:rStyle w:val="FootnoteReference"/>
          <w:rFonts w:ascii="Garamond" w:hAnsi="Garamond"/>
        </w:rPr>
        <w:footnoteRef/>
      </w:r>
      <w:r w:rsidRPr="002818FC">
        <w:t xml:space="preserve"> For Eccles’s testimony before Congress, see Eccles Statement, Senate Finance Committee Hearing on the Investigation of Economic Problems, February 24, 1933. For contemporaneous press coverage, see Associated Press, “Rich Hit By Banker in Prosperity Plan,” February 25, 1933.  </w:t>
      </w:r>
    </w:p>
  </w:footnote>
  <w:footnote w:id="122">
    <w:p w14:paraId="0FF85B1F" w14:textId="2379813F" w:rsidR="00CE71D3" w:rsidRPr="002818FC" w:rsidRDefault="00CE71D3" w:rsidP="00C42F90">
      <w:pPr>
        <w:pStyle w:val="FootnoteText"/>
        <w:rPr>
          <w:highlight w:val="yellow"/>
        </w:rPr>
      </w:pPr>
      <w:r w:rsidRPr="002818FC">
        <w:rPr>
          <w:rStyle w:val="FootnoteReference"/>
          <w:rFonts w:ascii="Garamond" w:hAnsi="Garamond"/>
        </w:rPr>
        <w:footnoteRef/>
      </w:r>
      <w:r w:rsidRPr="002818FC">
        <w:t xml:space="preserve"> </w:t>
      </w:r>
      <w:r w:rsidRPr="002818FC">
        <w:rPr>
          <w:smallCaps/>
        </w:rPr>
        <w:t>Marriner S. Eccles, Beckoning Frontiers: Public and Personal Recollections 84</w:t>
      </w:r>
      <w:r w:rsidRPr="002818FC">
        <w:t xml:space="preserve"> (1951)</w:t>
      </w:r>
    </w:p>
  </w:footnote>
  <w:footnote w:id="123">
    <w:p w14:paraId="45CC7E84" w14:textId="77777777" w:rsidR="00CE71D3" w:rsidRPr="002818FC" w:rsidRDefault="00CE71D3" w:rsidP="00C42F90">
      <w:pPr>
        <w:pStyle w:val="FootnoteText"/>
        <w:rPr>
          <w:highlight w:val="yellow"/>
        </w:rPr>
      </w:pPr>
      <w:r w:rsidRPr="002818FC">
        <w:rPr>
          <w:rStyle w:val="FootnoteReference"/>
          <w:rFonts w:ascii="Garamond" w:hAnsi="Garamond"/>
        </w:rPr>
        <w:footnoteRef/>
      </w:r>
      <w:r w:rsidRPr="002818FC">
        <w:t xml:space="preserve"> For example, Washington Post, August 22, 1934.</w:t>
      </w:r>
      <w:r w:rsidRPr="002818FC">
        <w:rPr>
          <w:highlight w:val="yellow"/>
        </w:rPr>
        <w:t xml:space="preserve">  </w:t>
      </w:r>
    </w:p>
  </w:footnote>
  <w:footnote w:id="124">
    <w:p w14:paraId="511E6804" w14:textId="12DCA3B9" w:rsidR="00CE71D3" w:rsidRPr="002818FC" w:rsidRDefault="00CE71D3" w:rsidP="00C42F90">
      <w:pPr>
        <w:pStyle w:val="FootnoteText"/>
      </w:pPr>
      <w:r w:rsidRPr="002818FC">
        <w:rPr>
          <w:rStyle w:val="FootnoteReference"/>
          <w:rFonts w:ascii="Garamond" w:hAnsi="Garamond"/>
        </w:rPr>
        <w:footnoteRef/>
      </w:r>
      <w:r w:rsidRPr="002818FC">
        <w:t xml:space="preserve"> As quoted in </w:t>
      </w:r>
      <w:r w:rsidRPr="002818FC">
        <w:rPr>
          <w:smallCaps/>
        </w:rPr>
        <w:t>Sydney Hyman, Marriner S. Eccles, Private Entrepreneur and Public Servant 155</w:t>
      </w:r>
      <w:r w:rsidRPr="002818FC">
        <w:t xml:space="preserve"> (1976)</w:t>
      </w:r>
    </w:p>
  </w:footnote>
  <w:footnote w:id="125">
    <w:p w14:paraId="4FFDF731" w14:textId="183D82FC" w:rsidR="00CE71D3" w:rsidRPr="002818FC" w:rsidRDefault="00CE71D3" w:rsidP="00C42F90">
      <w:pPr>
        <w:pStyle w:val="FootnoteText"/>
      </w:pPr>
      <w:r w:rsidRPr="002818FC">
        <w:rPr>
          <w:rStyle w:val="FootnoteReference"/>
          <w:rFonts w:ascii="Garamond" w:hAnsi="Garamond"/>
        </w:rPr>
        <w:footnoteRef/>
      </w:r>
      <w:r w:rsidRPr="002818FC">
        <w:t xml:space="preserve"> Currie Memo to Eccles, April 1, 1935. I refer to it as the Eccles memo because the final proposal was given under Eccles signature, but it was drafted by his assistant Lachlan Currie. </w:t>
      </w:r>
    </w:p>
  </w:footnote>
  <w:footnote w:id="126">
    <w:p w14:paraId="057C11AA" w14:textId="1676C566" w:rsidR="00CE71D3" w:rsidRPr="002818FC" w:rsidRDefault="00CE71D3" w:rsidP="00C42F90">
      <w:pPr>
        <w:pStyle w:val="FootnoteText"/>
      </w:pPr>
      <w:r w:rsidRPr="002818FC">
        <w:rPr>
          <w:rStyle w:val="FootnoteReference"/>
          <w:rFonts w:ascii="Garamond" w:hAnsi="Garamond"/>
        </w:rPr>
        <w:footnoteRef/>
      </w:r>
      <w:r w:rsidRPr="002818FC">
        <w:t xml:space="preserve"> </w:t>
      </w:r>
      <w:r w:rsidRPr="002818FC">
        <w:rPr>
          <w:i/>
        </w:rPr>
        <w:t>Id</w:t>
      </w:r>
      <w:r w:rsidRPr="002818FC">
        <w:t xml:space="preserve">. </w:t>
      </w:r>
    </w:p>
  </w:footnote>
  <w:footnote w:id="127">
    <w:p w14:paraId="3A926AB5" w14:textId="1081941A" w:rsidR="00CE71D3" w:rsidRPr="002818FC" w:rsidRDefault="00CE71D3" w:rsidP="00C42F90">
      <w:pPr>
        <w:pStyle w:val="FootnoteText"/>
        <w:rPr>
          <w:highlight w:val="yellow"/>
        </w:rPr>
      </w:pPr>
      <w:r w:rsidRPr="002818FC">
        <w:rPr>
          <w:rStyle w:val="FootnoteReference"/>
          <w:rFonts w:ascii="Garamond" w:hAnsi="Garamond"/>
        </w:rPr>
        <w:footnoteRef/>
      </w:r>
      <w:r w:rsidRPr="002818FC">
        <w:t xml:space="preserve"> </w:t>
      </w:r>
      <w:r w:rsidRPr="002818FC">
        <w:rPr>
          <w:i/>
        </w:rPr>
        <w:t xml:space="preserve">Id. </w:t>
      </w:r>
    </w:p>
  </w:footnote>
  <w:footnote w:id="128">
    <w:p w14:paraId="41B34152" w14:textId="452B5BAB" w:rsidR="00CE71D3" w:rsidRPr="002818FC" w:rsidRDefault="00CE71D3" w:rsidP="00C42F90">
      <w:pPr>
        <w:pStyle w:val="FootnoteText"/>
      </w:pPr>
      <w:r w:rsidRPr="002818FC">
        <w:rPr>
          <w:rStyle w:val="FootnoteReference"/>
          <w:rFonts w:ascii="Garamond" w:hAnsi="Garamond"/>
        </w:rPr>
        <w:footnoteRef/>
      </w:r>
      <w:r w:rsidRPr="002818FC">
        <w:t xml:space="preserve"> </w:t>
      </w:r>
      <w:r w:rsidRPr="002818FC">
        <w:rPr>
          <w:smallCaps/>
        </w:rPr>
        <w:t>Kennedy</w:t>
      </w:r>
      <w:r w:rsidRPr="002818FC">
        <w:t xml:space="preserve">, </w:t>
      </w:r>
      <w:r w:rsidRPr="002818FC">
        <w:rPr>
          <w:i/>
        </w:rPr>
        <w:t xml:space="preserve">supra </w:t>
      </w:r>
      <w:r w:rsidRPr="002818FC">
        <w:t>note XX at 273</w:t>
      </w:r>
    </w:p>
  </w:footnote>
  <w:footnote w:id="129">
    <w:p w14:paraId="591E2EA0" w14:textId="70F96E05" w:rsidR="00CE71D3" w:rsidRPr="002818FC" w:rsidRDefault="00CE71D3" w:rsidP="00C916CF">
      <w:pPr>
        <w:pStyle w:val="FootnoteText"/>
      </w:pPr>
      <w:r w:rsidRPr="002818FC">
        <w:rPr>
          <w:rStyle w:val="FootnoteReference"/>
          <w:rFonts w:ascii="Garamond" w:hAnsi="Garamond"/>
        </w:rPr>
        <w:footnoteRef/>
      </w:r>
      <w:r w:rsidRPr="002818FC">
        <w:t xml:space="preserve"> </w:t>
      </w:r>
      <w:r w:rsidRPr="002818FC">
        <w:rPr>
          <w:smallCaps/>
        </w:rPr>
        <w:t xml:space="preserve">Alan Brinkley, </w:t>
      </w:r>
      <w:r w:rsidRPr="002818FC">
        <w:rPr>
          <w:iCs/>
          <w:smallCaps/>
        </w:rPr>
        <w:t>Voices of Protest: Huey Long, Father Coughlin, and the Great Depression x</w:t>
      </w:r>
      <w:r w:rsidRPr="002818FC">
        <w:rPr>
          <w:iCs/>
        </w:rPr>
        <w:t xml:space="preserve"> (1982)</w:t>
      </w:r>
    </w:p>
  </w:footnote>
  <w:footnote w:id="130">
    <w:p w14:paraId="75EF8E15" w14:textId="13F05F9A" w:rsidR="00CE71D3" w:rsidRPr="002818FC" w:rsidRDefault="00CE71D3" w:rsidP="00C916CF">
      <w:pPr>
        <w:pStyle w:val="FootnoteText"/>
      </w:pPr>
      <w:r w:rsidRPr="002818FC">
        <w:rPr>
          <w:rStyle w:val="FootnoteReference"/>
          <w:rFonts w:ascii="Garamond" w:hAnsi="Garamond"/>
        </w:rPr>
        <w:footnoteRef/>
      </w:r>
      <w:r w:rsidRPr="002818FC">
        <w:t xml:space="preserve"> </w:t>
      </w:r>
      <w:r w:rsidRPr="002818FC">
        <w:rPr>
          <w:smallCaps/>
        </w:rPr>
        <w:t xml:space="preserve">Gary Marx, </w:t>
      </w:r>
      <w:r w:rsidRPr="002818FC">
        <w:rPr>
          <w:iCs/>
          <w:smallCaps/>
        </w:rPr>
        <w:t>The Social Basis of the Support of a Depression Era Extremist: Father Coughlin</w:t>
      </w:r>
      <w:r w:rsidRPr="002818FC">
        <w:t xml:space="preserve"> 119 (1962). </w:t>
      </w:r>
    </w:p>
  </w:footnote>
  <w:footnote w:id="131">
    <w:p w14:paraId="166AD2BA" w14:textId="2ADA20CB" w:rsidR="00CE71D3" w:rsidRPr="002818FC" w:rsidRDefault="00CE71D3" w:rsidP="00C916CF">
      <w:pPr>
        <w:pStyle w:val="FootnoteText"/>
      </w:pPr>
      <w:r w:rsidRPr="002818FC">
        <w:rPr>
          <w:rStyle w:val="FootnoteReference"/>
          <w:rFonts w:ascii="Garamond" w:hAnsi="Garamond"/>
        </w:rPr>
        <w:footnoteRef/>
      </w:r>
      <w:r w:rsidRPr="002818FC">
        <w:t xml:space="preserve"> Wallace Stegner “The Radio Priest and His Flock” in Isabel Leighton, ed, </w:t>
      </w:r>
      <w:r w:rsidRPr="002818FC">
        <w:rPr>
          <w:iCs/>
          <w:smallCaps/>
        </w:rPr>
        <w:t>The Aspirin Age: 1919-1941</w:t>
      </w:r>
      <w:r w:rsidRPr="002818FC">
        <w:t xml:space="preserve"> (1949)</w:t>
      </w:r>
    </w:p>
  </w:footnote>
  <w:footnote w:id="132">
    <w:p w14:paraId="47A10073" w14:textId="6A8EBD8F" w:rsidR="00CE71D3" w:rsidRPr="002818FC" w:rsidRDefault="00CE71D3" w:rsidP="00C42F90">
      <w:pPr>
        <w:pStyle w:val="FootnoteText"/>
      </w:pPr>
      <w:r w:rsidRPr="002818FC">
        <w:rPr>
          <w:rStyle w:val="FootnoteReference"/>
          <w:rFonts w:ascii="Garamond" w:hAnsi="Garamond"/>
        </w:rPr>
        <w:footnoteRef/>
      </w:r>
      <w:r w:rsidRPr="002818FC">
        <w:t xml:space="preserve"> </w:t>
      </w:r>
      <w:r w:rsidRPr="002818FC">
        <w:rPr>
          <w:smallCaps/>
        </w:rPr>
        <w:t xml:space="preserve">Charles Coughlin, </w:t>
      </w:r>
      <w:r w:rsidRPr="002818FC">
        <w:rPr>
          <w:iCs/>
          <w:smallCaps/>
        </w:rPr>
        <w:t>A Series of Lectures on Social Justice</w:t>
      </w:r>
      <w:r w:rsidRPr="002818FC">
        <w:rPr>
          <w:i/>
          <w:iCs/>
        </w:rPr>
        <w:t xml:space="preserve"> </w:t>
      </w:r>
      <w:r w:rsidRPr="002818FC">
        <w:t>16-19 (2013/1935)</w:t>
      </w:r>
    </w:p>
  </w:footnote>
  <w:footnote w:id="133">
    <w:p w14:paraId="069B188B" w14:textId="36761354" w:rsidR="00CE71D3" w:rsidRPr="002818FC" w:rsidRDefault="00CE71D3" w:rsidP="00C42F90">
      <w:pPr>
        <w:pStyle w:val="FootnoteText"/>
      </w:pPr>
      <w:r w:rsidRPr="002818FC">
        <w:rPr>
          <w:rStyle w:val="FootnoteReference"/>
          <w:rFonts w:ascii="Garamond" w:hAnsi="Garamond"/>
        </w:rPr>
        <w:footnoteRef/>
      </w:r>
      <w:r w:rsidRPr="002818FC">
        <w:t xml:space="preserve"> </w:t>
      </w:r>
      <w:r w:rsidRPr="002818FC">
        <w:rPr>
          <w:i/>
        </w:rPr>
        <w:t xml:space="preserve">Id </w:t>
      </w:r>
      <w:r w:rsidRPr="002818FC">
        <w:t xml:space="preserve">at 171-172. See also </w:t>
      </w:r>
      <w:r w:rsidRPr="002818FC">
        <w:rPr>
          <w:smallCaps/>
        </w:rPr>
        <w:t>Brinkley</w:t>
      </w:r>
      <w:r w:rsidRPr="002818FC">
        <w:t xml:space="preserve"> </w:t>
      </w:r>
      <w:r w:rsidRPr="002818FC">
        <w:rPr>
          <w:i/>
        </w:rPr>
        <w:t xml:space="preserve">supra </w:t>
      </w:r>
      <w:r w:rsidRPr="002818FC">
        <w:t xml:space="preserve">note at 112. </w:t>
      </w:r>
    </w:p>
  </w:footnote>
  <w:footnote w:id="134">
    <w:p w14:paraId="07093B08" w14:textId="77777777" w:rsidR="00CE71D3" w:rsidRPr="002818FC" w:rsidRDefault="00CE71D3" w:rsidP="00C42F90">
      <w:pPr>
        <w:pStyle w:val="FootnoteText"/>
      </w:pPr>
      <w:r w:rsidRPr="002818FC">
        <w:rPr>
          <w:rStyle w:val="FootnoteReference"/>
          <w:rFonts w:ascii="Garamond" w:hAnsi="Garamond"/>
        </w:rPr>
        <w:footnoteRef/>
      </w:r>
      <w:r w:rsidRPr="002818FC">
        <w:t xml:space="preserve"> Eccles Papers, “Desirable Changes in the Administration of the Federal Reserve System, Box 4, Folder 1, Item 2, November 3, 1934. </w:t>
      </w:r>
    </w:p>
  </w:footnote>
  <w:footnote w:id="135">
    <w:p w14:paraId="082A4DAB" w14:textId="00B258EF" w:rsidR="00CE71D3" w:rsidRPr="002818FC" w:rsidRDefault="00CE71D3" w:rsidP="00C42F90">
      <w:pPr>
        <w:pStyle w:val="FootnoteText"/>
        <w:rPr>
          <w:highlight w:val="yellow"/>
        </w:rPr>
      </w:pPr>
      <w:r w:rsidRPr="002818FC">
        <w:rPr>
          <w:rStyle w:val="FootnoteReference"/>
          <w:rFonts w:ascii="Garamond" w:hAnsi="Garamond"/>
        </w:rPr>
        <w:footnoteRef/>
      </w:r>
      <w:r w:rsidRPr="002818FC">
        <w:t xml:space="preserve"> On Reserve Bank dominance, Eccles &amp; Currie (1934/2004). </w:t>
      </w:r>
    </w:p>
  </w:footnote>
  <w:footnote w:id="136">
    <w:p w14:paraId="59F24F98" w14:textId="4C9B431C" w:rsidR="00CE71D3" w:rsidRPr="002818FC" w:rsidRDefault="00CE71D3" w:rsidP="00C42F90">
      <w:pPr>
        <w:pStyle w:val="FootnoteText"/>
      </w:pPr>
      <w:r w:rsidRPr="002818FC">
        <w:rPr>
          <w:rStyle w:val="FootnoteReference"/>
          <w:rFonts w:ascii="Garamond" w:hAnsi="Garamond"/>
        </w:rPr>
        <w:footnoteRef/>
      </w:r>
      <w:r w:rsidRPr="002818FC">
        <w:t xml:space="preserve"> </w:t>
      </w:r>
      <w:r w:rsidRPr="002818FC">
        <w:rPr>
          <w:smallCaps/>
        </w:rPr>
        <w:t>Eccles,</w:t>
      </w:r>
      <w:r w:rsidRPr="002818FC">
        <w:t xml:space="preserve"> </w:t>
      </w:r>
      <w:r w:rsidRPr="002818FC">
        <w:rPr>
          <w:i/>
        </w:rPr>
        <w:t xml:space="preserve">supra </w:t>
      </w:r>
      <w:r w:rsidRPr="002818FC">
        <w:t xml:space="preserve">note XX at 175 </w:t>
      </w:r>
    </w:p>
  </w:footnote>
  <w:footnote w:id="137">
    <w:p w14:paraId="3FE45615" w14:textId="77777777" w:rsidR="00CE71D3" w:rsidRPr="002818FC" w:rsidRDefault="00CE71D3" w:rsidP="00C42F90">
      <w:pPr>
        <w:pStyle w:val="FootnoteText"/>
      </w:pPr>
      <w:r w:rsidRPr="002818FC">
        <w:rPr>
          <w:rStyle w:val="FootnoteReference"/>
          <w:rFonts w:ascii="Garamond" w:hAnsi="Garamond"/>
        </w:rPr>
        <w:footnoteRef/>
      </w:r>
      <w:r w:rsidRPr="002818FC">
        <w:t xml:space="preserve"> Eccles Papers, “Outline of Proposed Federal Reserve Legislation,” Box 14, Folder 1, Item 13. </w:t>
      </w:r>
    </w:p>
  </w:footnote>
  <w:footnote w:id="138">
    <w:p w14:paraId="35C731A1" w14:textId="77777777" w:rsidR="00CE71D3" w:rsidRPr="002818FC" w:rsidRDefault="00CE71D3" w:rsidP="00C42F90">
      <w:pPr>
        <w:pStyle w:val="FootnoteText"/>
      </w:pPr>
      <w:r w:rsidRPr="002818FC">
        <w:rPr>
          <w:rStyle w:val="FootnoteReference"/>
          <w:rFonts w:ascii="Garamond" w:hAnsi="Garamond"/>
        </w:rPr>
        <w:footnoteRef/>
      </w:r>
      <w:r w:rsidRPr="002818FC">
        <w:t xml:space="preserve"> Hearings before the Committee on Banking and Currency, House of Representatives, 74</w:t>
      </w:r>
      <w:r w:rsidRPr="002818FC">
        <w:rPr>
          <w:vertAlign w:val="superscript"/>
        </w:rPr>
        <w:t>th</w:t>
      </w:r>
      <w:r w:rsidRPr="002818FC">
        <w:t xml:space="preserve"> Congress, on HOUR 5357, February, March, and April 1935, pages 209 </w:t>
      </w:r>
    </w:p>
  </w:footnote>
  <w:footnote w:id="139">
    <w:p w14:paraId="35C7CAB3" w14:textId="543F0497" w:rsidR="00CE71D3" w:rsidRPr="002818FC" w:rsidRDefault="00CE71D3" w:rsidP="00C42F90">
      <w:pPr>
        <w:pStyle w:val="FootnoteText"/>
      </w:pPr>
      <w:r w:rsidRPr="002818FC">
        <w:rPr>
          <w:rStyle w:val="FootnoteReference"/>
          <w:rFonts w:ascii="Garamond" w:hAnsi="Garamond"/>
        </w:rPr>
        <w:footnoteRef/>
      </w:r>
      <w:r w:rsidRPr="002818FC">
        <w:t xml:space="preserve"> </w:t>
      </w:r>
      <w:r w:rsidRPr="002818FC">
        <w:rPr>
          <w:i/>
        </w:rPr>
        <w:t xml:space="preserve">Id. </w:t>
      </w:r>
      <w:r w:rsidRPr="002818FC">
        <w:t xml:space="preserve">at 358. </w:t>
      </w:r>
    </w:p>
  </w:footnote>
  <w:footnote w:id="140">
    <w:p w14:paraId="4CB80D5E" w14:textId="45EB8F32" w:rsidR="00CE71D3" w:rsidRPr="002818FC" w:rsidRDefault="00CE71D3" w:rsidP="00C42F90">
      <w:pPr>
        <w:pStyle w:val="FootnoteText"/>
      </w:pPr>
      <w:r w:rsidRPr="002818FC">
        <w:rPr>
          <w:rStyle w:val="FootnoteReference"/>
          <w:rFonts w:ascii="Garamond" w:hAnsi="Garamond"/>
        </w:rPr>
        <w:footnoteRef/>
      </w:r>
      <w:r w:rsidRPr="002818FC">
        <w:t xml:space="preserve"> </w:t>
      </w:r>
      <w:r w:rsidRPr="002818FC">
        <w:rPr>
          <w:i/>
        </w:rPr>
        <w:t xml:space="preserve">Id. </w:t>
      </w:r>
      <w:r w:rsidRPr="002818FC">
        <w:t xml:space="preserve">at 226. </w:t>
      </w:r>
    </w:p>
  </w:footnote>
  <w:footnote w:id="141">
    <w:p w14:paraId="4BE5AEE8" w14:textId="78E147B4" w:rsidR="00CE71D3" w:rsidRPr="002818FC" w:rsidRDefault="00CE71D3" w:rsidP="00C42F90">
      <w:pPr>
        <w:pStyle w:val="FootnoteText"/>
      </w:pPr>
      <w:r w:rsidRPr="002818FC">
        <w:rPr>
          <w:rStyle w:val="FootnoteReference"/>
          <w:rFonts w:ascii="Garamond" w:hAnsi="Garamond"/>
        </w:rPr>
        <w:footnoteRef/>
      </w:r>
      <w:r w:rsidRPr="002818FC">
        <w:t xml:space="preserve"> </w:t>
      </w:r>
      <w:r w:rsidRPr="002818FC">
        <w:rPr>
          <w:i/>
        </w:rPr>
        <w:t xml:space="preserve">Id. </w:t>
      </w:r>
      <w:r w:rsidRPr="002818FC">
        <w:t>at 229</w:t>
      </w:r>
    </w:p>
  </w:footnote>
  <w:footnote w:id="142">
    <w:p w14:paraId="4573D95E" w14:textId="77777777" w:rsidR="00CE71D3" w:rsidRPr="002818FC" w:rsidRDefault="00CE71D3" w:rsidP="00C42F90">
      <w:pPr>
        <w:pStyle w:val="FootnoteText"/>
      </w:pPr>
      <w:r w:rsidRPr="002818FC">
        <w:rPr>
          <w:rStyle w:val="FootnoteReference"/>
          <w:rFonts w:ascii="Garamond" w:hAnsi="Garamond"/>
        </w:rPr>
        <w:footnoteRef/>
      </w:r>
      <w:r w:rsidRPr="002818FC">
        <w:t xml:space="preserve"> House Committee on Banking and Currency, Report, Banking Act of 1935, Report No 742, page 8. </w:t>
      </w:r>
    </w:p>
  </w:footnote>
  <w:footnote w:id="143">
    <w:p w14:paraId="0866B1E2" w14:textId="7EDEBECF" w:rsidR="00CE71D3" w:rsidRPr="002818FC" w:rsidRDefault="00CE71D3" w:rsidP="00C42F90">
      <w:pPr>
        <w:pStyle w:val="FootnoteText"/>
      </w:pPr>
      <w:r w:rsidRPr="002818FC">
        <w:rPr>
          <w:rStyle w:val="FootnoteReference"/>
          <w:rFonts w:ascii="Garamond" w:hAnsi="Garamond"/>
        </w:rPr>
        <w:footnoteRef/>
      </w:r>
      <w:r w:rsidRPr="002818FC">
        <w:t xml:space="preserve"> Eccles discusses his political blunders in </w:t>
      </w:r>
      <w:r w:rsidRPr="002818FC">
        <w:rPr>
          <w:smallCaps/>
        </w:rPr>
        <w:t>Eccles</w:t>
      </w:r>
      <w:r w:rsidRPr="002818FC">
        <w:t xml:space="preserve"> </w:t>
      </w:r>
      <w:r w:rsidRPr="002818FC">
        <w:rPr>
          <w:i/>
        </w:rPr>
        <w:t xml:space="preserve">supra </w:t>
      </w:r>
      <w:r w:rsidRPr="002818FC">
        <w:t xml:space="preserve">note XX. </w:t>
      </w:r>
    </w:p>
  </w:footnote>
  <w:footnote w:id="144">
    <w:p w14:paraId="66C2F08F" w14:textId="3C7A2F3C" w:rsidR="00CE71D3" w:rsidRPr="002818FC" w:rsidRDefault="00CE71D3" w:rsidP="00C42F90">
      <w:pPr>
        <w:pStyle w:val="FootnoteText"/>
      </w:pPr>
      <w:r w:rsidRPr="002818FC">
        <w:rPr>
          <w:rStyle w:val="FootnoteReference"/>
          <w:rFonts w:ascii="Garamond" w:hAnsi="Garamond"/>
        </w:rPr>
        <w:footnoteRef/>
      </w:r>
      <w:r w:rsidRPr="002818FC">
        <w:t xml:space="preserve"> See </w:t>
      </w:r>
      <w:r w:rsidRPr="002818FC">
        <w:rPr>
          <w:smallCaps/>
        </w:rPr>
        <w:t>Patterson</w:t>
      </w:r>
      <w:r w:rsidRPr="002818FC">
        <w:t xml:space="preserve"> </w:t>
      </w:r>
      <w:r w:rsidRPr="002818FC">
        <w:rPr>
          <w:i/>
        </w:rPr>
        <w:t xml:space="preserve">supra </w:t>
      </w:r>
      <w:r w:rsidRPr="002818FC">
        <w:t xml:space="preserve">note XX at 20. </w:t>
      </w:r>
    </w:p>
  </w:footnote>
  <w:footnote w:id="145">
    <w:p w14:paraId="5F938666" w14:textId="57BD8925" w:rsidR="00CE71D3" w:rsidRPr="002818FC" w:rsidRDefault="00CE71D3" w:rsidP="00C42F90">
      <w:pPr>
        <w:pStyle w:val="FootnoteText"/>
      </w:pPr>
      <w:r w:rsidRPr="002818FC">
        <w:rPr>
          <w:rStyle w:val="FootnoteReference"/>
          <w:rFonts w:ascii="Garamond" w:hAnsi="Garamond"/>
        </w:rPr>
        <w:footnoteRef/>
      </w:r>
      <w:r w:rsidRPr="002818FC">
        <w:t xml:space="preserve"> The Federal Reserve Bank of New York didn’t become a permanent member of the FOMC until 1942. </w:t>
      </w:r>
    </w:p>
  </w:footnote>
  <w:footnote w:id="146">
    <w:p w14:paraId="09126FC4" w14:textId="4F87D955" w:rsidR="00CE71D3" w:rsidRPr="002818FC" w:rsidRDefault="00CE71D3">
      <w:pPr>
        <w:pStyle w:val="FootnoteText"/>
      </w:pPr>
      <w:r w:rsidRPr="002818FC">
        <w:rPr>
          <w:rStyle w:val="FootnoteReference"/>
          <w:rFonts w:ascii="Garamond" w:hAnsi="Garamond"/>
        </w:rPr>
        <w:footnoteRef/>
      </w:r>
      <w:r w:rsidRPr="002818FC">
        <w:t xml:space="preserve"> </w:t>
      </w:r>
      <w:r w:rsidRPr="002818FC">
        <w:rPr>
          <w:smallCaps/>
        </w:rPr>
        <w:t xml:space="preserve">Kennedy </w:t>
      </w:r>
      <w:r w:rsidRPr="002818FC">
        <w:rPr>
          <w:i/>
        </w:rPr>
        <w:t xml:space="preserve">supra </w:t>
      </w:r>
      <w:r w:rsidRPr="002818FC">
        <w:t>note XX at 245.</w:t>
      </w:r>
    </w:p>
  </w:footnote>
  <w:footnote w:id="147">
    <w:p w14:paraId="4B9E550B" w14:textId="381FE00A" w:rsidR="00CE71D3" w:rsidRPr="002818FC" w:rsidRDefault="00CE71D3" w:rsidP="00C41D53">
      <w:pPr>
        <w:pStyle w:val="FootnoteText"/>
      </w:pPr>
      <w:r w:rsidRPr="002818FC">
        <w:rPr>
          <w:rStyle w:val="FootnoteReference"/>
          <w:rFonts w:ascii="Garamond" w:hAnsi="Garamond"/>
        </w:rPr>
        <w:footnoteRef/>
      </w:r>
      <w:r w:rsidRPr="002818FC">
        <w:t xml:space="preserve"> </w:t>
      </w:r>
      <w:r w:rsidRPr="002818FC">
        <w:rPr>
          <w:smallCaps/>
        </w:rPr>
        <w:t>Charles Goodhart, The Evolution of Central Banking (1988)</w:t>
      </w:r>
    </w:p>
  </w:footnote>
  <w:footnote w:id="148">
    <w:p w14:paraId="74A6CF8A" w14:textId="13C1AFB3" w:rsidR="00CE71D3" w:rsidRPr="002818FC" w:rsidRDefault="00CE71D3" w:rsidP="009008B4">
      <w:pPr>
        <w:pStyle w:val="FootnoteText"/>
      </w:pPr>
      <w:r w:rsidRPr="002818FC">
        <w:rPr>
          <w:rStyle w:val="FootnoteReference"/>
          <w:rFonts w:ascii="Garamond" w:hAnsi="Garamond"/>
        </w:rPr>
        <w:footnoteRef/>
      </w:r>
      <w:r w:rsidRPr="002818FC">
        <w:t xml:space="preserve"> See, e.g., Jeffrey Lacker, “Does Federal Reserve Governance Need Reform?” Federal Reserve Bank of Richmond Speech, Marshall University, Huntington, West Virginia, October 5, 2016 </w:t>
      </w:r>
    </w:p>
  </w:footnote>
  <w:footnote w:id="149">
    <w:p w14:paraId="7FB75D13" w14:textId="5D5F4B2A" w:rsidR="00CE71D3" w:rsidRPr="00B11B84" w:rsidRDefault="00CE71D3">
      <w:pPr>
        <w:pStyle w:val="FootnoteText"/>
      </w:pPr>
      <w:r w:rsidRPr="002818FC">
        <w:rPr>
          <w:rStyle w:val="FootnoteReference"/>
          <w:rFonts w:ascii="Garamond" w:hAnsi="Garamond"/>
        </w:rPr>
        <w:footnoteRef/>
      </w:r>
      <w:r w:rsidRPr="002818FC">
        <w:t xml:space="preserve"> </w:t>
      </w:r>
      <w:r>
        <w:t xml:space="preserve">See, e.g., </w:t>
      </w:r>
      <w:r>
        <w:rPr>
          <w:smallCaps/>
        </w:rPr>
        <w:t>Kennedy</w:t>
      </w:r>
      <w:r>
        <w:t xml:space="preserve">, </w:t>
      </w:r>
      <w:r>
        <w:rPr>
          <w:i/>
        </w:rPr>
        <w:t xml:space="preserve">supra </w:t>
      </w:r>
      <w:r>
        <w:t xml:space="preserve">note XX. </w:t>
      </w:r>
    </w:p>
  </w:footnote>
  <w:footnote w:id="150">
    <w:p w14:paraId="0DF59FC5" w14:textId="646AA517" w:rsidR="00CE71D3" w:rsidRPr="00861F29" w:rsidRDefault="00CE71D3">
      <w:pPr>
        <w:pStyle w:val="FootnoteText"/>
        <w:rPr>
          <w:smallCaps/>
        </w:rPr>
      </w:pPr>
      <w:r w:rsidRPr="002818FC">
        <w:rPr>
          <w:rStyle w:val="FootnoteReference"/>
          <w:rFonts w:ascii="Garamond" w:hAnsi="Garamond"/>
        </w:rPr>
        <w:footnoteRef/>
      </w:r>
      <w:r w:rsidRPr="002818FC">
        <w:t xml:space="preserve"> </w:t>
      </w:r>
      <w:r>
        <w:t>For an excellent overview of home ownership during the era, see LeeAnn Lands, “Be A Patriot, Buy A Home: Re-Imagining Home Owners and Home Ownership in Early 20</w:t>
      </w:r>
      <w:r w:rsidRPr="00861F29">
        <w:rPr>
          <w:vertAlign w:val="superscript"/>
        </w:rPr>
        <w:t>th</w:t>
      </w:r>
      <w:r>
        <w:t xml:space="preserve"> Century Atlanta,” 41 </w:t>
      </w:r>
      <w:r>
        <w:rPr>
          <w:smallCaps/>
        </w:rPr>
        <w:t>J. Social Hist. 943 (2008)</w:t>
      </w:r>
    </w:p>
  </w:footnote>
  <w:footnote w:id="151">
    <w:p w14:paraId="1D76327E" w14:textId="0E07249D" w:rsidR="00CE71D3" w:rsidRPr="002818FC" w:rsidRDefault="00CE71D3">
      <w:pPr>
        <w:pStyle w:val="FootnoteText"/>
      </w:pPr>
      <w:r w:rsidRPr="002818FC">
        <w:rPr>
          <w:rStyle w:val="FootnoteReference"/>
          <w:rFonts w:ascii="Garamond" w:hAnsi="Garamond"/>
        </w:rPr>
        <w:footnoteRef/>
      </w:r>
      <w:r w:rsidRPr="002818FC">
        <w:t xml:space="preserve"> </w:t>
      </w:r>
      <w:r w:rsidRPr="00861F29">
        <w:rPr>
          <w:smallCaps/>
        </w:rPr>
        <w:t>James R. Hagerty, The Fateful History of Fannie Mae: New Deal Birth to Mortgage Crisis Fall</w:t>
      </w:r>
      <w:r w:rsidRPr="00861F29">
        <w:t xml:space="preserve"> 22 (2012)</w:t>
      </w:r>
    </w:p>
  </w:footnote>
  <w:footnote w:id="152">
    <w:p w14:paraId="6D1FF36F" w14:textId="46EE116C" w:rsidR="00CE71D3" w:rsidRPr="00861F29" w:rsidRDefault="00CE71D3">
      <w:pPr>
        <w:pStyle w:val="FootnoteText"/>
        <w:rPr>
          <w:smallCaps/>
        </w:rPr>
      </w:pPr>
      <w:r w:rsidRPr="002818FC">
        <w:rPr>
          <w:rStyle w:val="FootnoteReference"/>
          <w:rFonts w:ascii="Garamond" w:hAnsi="Garamond"/>
        </w:rPr>
        <w:footnoteRef/>
      </w:r>
      <w:r w:rsidRPr="002818FC">
        <w:t xml:space="preserve"> </w:t>
      </w:r>
      <w:r>
        <w:t xml:space="preserve">For a reinterpretation of the still-vibrant Federal Home Loan Bank System, see Kathryn Judge, “Three Discount Windows,” 99 </w:t>
      </w:r>
      <w:r>
        <w:rPr>
          <w:smallCaps/>
        </w:rPr>
        <w:t>Cornell L. Rev. 795 (2014).</w:t>
      </w:r>
    </w:p>
  </w:footnote>
  <w:footnote w:id="153">
    <w:p w14:paraId="54BEC05D" w14:textId="49F6C58D" w:rsidR="00CE71D3" w:rsidRPr="002818FC" w:rsidRDefault="00CE71D3">
      <w:pPr>
        <w:pStyle w:val="FootnoteText"/>
      </w:pPr>
      <w:r w:rsidRPr="002818FC">
        <w:rPr>
          <w:rStyle w:val="FootnoteReference"/>
          <w:rFonts w:ascii="Garamond" w:hAnsi="Garamond"/>
        </w:rPr>
        <w:footnoteRef/>
      </w:r>
      <w:r w:rsidRPr="002818FC">
        <w:t xml:space="preserve"> Roosevelt’s Bill Proposing Refinancing of Mortgages for Home Owners, </w:t>
      </w:r>
      <w:r w:rsidRPr="002818FC">
        <w:rPr>
          <w:smallCaps/>
        </w:rPr>
        <w:t>N.Y. Times</w:t>
      </w:r>
      <w:r w:rsidRPr="002818FC">
        <w:t>, Apr. 14, 1933, at 2</w:t>
      </w:r>
    </w:p>
  </w:footnote>
  <w:footnote w:id="154">
    <w:p w14:paraId="48B00640" w14:textId="5C9C066B" w:rsidR="00CE71D3" w:rsidRPr="002818FC" w:rsidRDefault="00CE71D3">
      <w:pPr>
        <w:pStyle w:val="FootnoteText"/>
      </w:pPr>
      <w:r w:rsidRPr="002818FC">
        <w:rPr>
          <w:rStyle w:val="FootnoteReference"/>
          <w:rFonts w:ascii="Garamond" w:hAnsi="Garamond"/>
        </w:rPr>
        <w:footnoteRef/>
      </w:r>
      <w:r w:rsidRPr="002818FC">
        <w:t xml:space="preserve"> </w:t>
      </w:r>
      <w:r w:rsidRPr="00861F29">
        <w:rPr>
          <w:smallCaps/>
        </w:rPr>
        <w:t>C. Lowell Harriss, History and Policies of the Home Owners’ Loan Corporation (1951)</w:t>
      </w:r>
    </w:p>
  </w:footnote>
  <w:footnote w:id="155">
    <w:p w14:paraId="47E6504C" w14:textId="34FCD55C" w:rsidR="00CE71D3" w:rsidRPr="002818FC" w:rsidRDefault="00CE71D3">
      <w:pPr>
        <w:pStyle w:val="FootnoteText"/>
      </w:pPr>
      <w:r w:rsidRPr="002818FC">
        <w:rPr>
          <w:rStyle w:val="FootnoteReference"/>
          <w:rFonts w:ascii="Garamond" w:hAnsi="Garamond"/>
        </w:rPr>
        <w:footnoteRef/>
      </w:r>
      <w:r w:rsidRPr="002818FC">
        <w:t xml:space="preserve"> </w:t>
      </w:r>
      <w:r>
        <w:t xml:space="preserve">See </w:t>
      </w:r>
      <w:r w:rsidRPr="00861F29">
        <w:rPr>
          <w:smallCaps/>
        </w:rPr>
        <w:t>Kennedy</w:t>
      </w:r>
      <w:r>
        <w:t xml:space="preserve">, </w:t>
      </w:r>
      <w:r>
        <w:rPr>
          <w:i/>
        </w:rPr>
        <w:t xml:space="preserve">supra </w:t>
      </w:r>
      <w:r>
        <w:t xml:space="preserve">note XX. </w:t>
      </w:r>
      <w:r w:rsidRPr="002818FC">
        <w:t xml:space="preserve"> </w:t>
      </w:r>
    </w:p>
  </w:footnote>
  <w:footnote w:id="156">
    <w:p w14:paraId="48DF8F2B" w14:textId="62920456" w:rsidR="00CE71D3" w:rsidRPr="002818FC" w:rsidRDefault="00CE71D3">
      <w:pPr>
        <w:pStyle w:val="FootnoteText"/>
      </w:pPr>
      <w:r w:rsidRPr="002818FC">
        <w:rPr>
          <w:rStyle w:val="FootnoteReference"/>
          <w:rFonts w:ascii="Garamond" w:hAnsi="Garamond"/>
        </w:rPr>
        <w:footnoteRef/>
      </w:r>
      <w:r w:rsidRPr="002818FC">
        <w:t xml:space="preserve"> Peter M. Carrozzo, “A New Deal for the American Mortgage: The Home Owners’ Loan Corporation, the National Housing Act, and the Birth of the National Mortgage Market,” 17 </w:t>
      </w:r>
      <w:r w:rsidRPr="002818FC">
        <w:rPr>
          <w:smallCaps/>
        </w:rPr>
        <w:t>U. Miami Bus. L. Rev</w:t>
      </w:r>
      <w:r w:rsidRPr="002818FC">
        <w:t>. 1 (2008)</w:t>
      </w:r>
    </w:p>
  </w:footnote>
  <w:footnote w:id="157">
    <w:p w14:paraId="4C5037EE" w14:textId="6D851DA1" w:rsidR="00CE71D3" w:rsidRPr="002818FC" w:rsidRDefault="00CE71D3">
      <w:pPr>
        <w:pStyle w:val="FootnoteText"/>
      </w:pPr>
      <w:r w:rsidRPr="002818FC">
        <w:rPr>
          <w:rStyle w:val="FootnoteReference"/>
          <w:rFonts w:ascii="Garamond" w:hAnsi="Garamond"/>
        </w:rPr>
        <w:footnoteRef/>
      </w:r>
      <w:r w:rsidRPr="002818FC">
        <w:t xml:space="preserve"> As quoted in </w:t>
      </w:r>
      <w:r w:rsidRPr="002818FC">
        <w:rPr>
          <w:smallCaps/>
        </w:rPr>
        <w:t xml:space="preserve">Hagerty, </w:t>
      </w:r>
      <w:r w:rsidRPr="00861F29">
        <w:rPr>
          <w:i/>
        </w:rPr>
        <w:t xml:space="preserve">supra </w:t>
      </w:r>
      <w:r w:rsidRPr="00861F29">
        <w:t>note at</w:t>
      </w:r>
      <w:r>
        <w:rPr>
          <w:smallCaps/>
        </w:rPr>
        <w:t xml:space="preserve"> </w:t>
      </w:r>
      <w:r w:rsidRPr="002818FC">
        <w:t>22 (2012)</w:t>
      </w:r>
    </w:p>
  </w:footnote>
  <w:footnote w:id="158">
    <w:p w14:paraId="50E6E903" w14:textId="77777777" w:rsidR="00CE71D3" w:rsidRPr="002818FC" w:rsidRDefault="00CE71D3" w:rsidP="00CF0015">
      <w:pPr>
        <w:pStyle w:val="FootnoteText"/>
        <w:rPr>
          <w:sz w:val="20"/>
          <w:szCs w:val="20"/>
        </w:rPr>
      </w:pPr>
      <w:r w:rsidRPr="002818FC">
        <w:rPr>
          <w:rStyle w:val="FootnoteReference"/>
          <w:rFonts w:ascii="Garamond" w:hAnsi="Garamond"/>
          <w:sz w:val="20"/>
          <w:szCs w:val="20"/>
        </w:rPr>
        <w:footnoteRef/>
      </w:r>
      <w:r w:rsidRPr="002818FC">
        <w:rPr>
          <w:sz w:val="20"/>
          <w:szCs w:val="20"/>
        </w:rPr>
        <w:t xml:space="preserve"> </w:t>
      </w:r>
      <w:r w:rsidRPr="002818FC">
        <w:rPr>
          <w:i/>
          <w:sz w:val="20"/>
          <w:szCs w:val="20"/>
        </w:rPr>
        <w:t>Id</w:t>
      </w:r>
      <w:r w:rsidRPr="002818FC">
        <w:rPr>
          <w:sz w:val="20"/>
          <w:szCs w:val="20"/>
        </w:rPr>
        <w:t>. at 27.</w:t>
      </w:r>
    </w:p>
  </w:footnote>
  <w:footnote w:id="159">
    <w:p w14:paraId="4586063C" w14:textId="77777777" w:rsidR="00CE71D3" w:rsidRPr="002818FC" w:rsidRDefault="00CE71D3" w:rsidP="00CF0015">
      <w:pPr>
        <w:pStyle w:val="FootnoteText"/>
        <w:rPr>
          <w:sz w:val="20"/>
          <w:szCs w:val="20"/>
        </w:rPr>
      </w:pPr>
      <w:r w:rsidRPr="002818FC">
        <w:rPr>
          <w:rStyle w:val="FootnoteReference"/>
          <w:rFonts w:ascii="Garamond" w:hAnsi="Garamond"/>
          <w:sz w:val="20"/>
          <w:szCs w:val="20"/>
        </w:rPr>
        <w:footnoteRef/>
      </w:r>
      <w:r w:rsidRPr="002818FC">
        <w:rPr>
          <w:sz w:val="20"/>
          <w:szCs w:val="20"/>
        </w:rPr>
        <w:t xml:space="preserve"> U.S. Dep’t of Commerce, Bureau of Foreign and Domestic Commerce</w:t>
      </w:r>
      <w:r w:rsidRPr="002818FC">
        <w:rPr>
          <w:i/>
          <w:sz w:val="20"/>
          <w:szCs w:val="20"/>
        </w:rPr>
        <w:t>, Indebtedness in the United States 1929-41,</w:t>
      </w:r>
      <w:r w:rsidRPr="002818FC">
        <w:rPr>
          <w:sz w:val="20"/>
          <w:szCs w:val="20"/>
        </w:rPr>
        <w:t xml:space="preserve"> 21 </w:t>
      </w:r>
      <w:r w:rsidRPr="002818FC">
        <w:rPr>
          <w:smallCaps/>
          <w:sz w:val="20"/>
          <w:szCs w:val="20"/>
        </w:rPr>
        <w:t>Economic Series</w:t>
      </w:r>
      <w:r w:rsidRPr="002818FC">
        <w:rPr>
          <w:sz w:val="20"/>
          <w:szCs w:val="20"/>
        </w:rPr>
        <w:t>, May 1942, at 48.</w:t>
      </w:r>
    </w:p>
  </w:footnote>
  <w:footnote w:id="160">
    <w:p w14:paraId="41AA0616" w14:textId="00E0F91E" w:rsidR="00CE71D3" w:rsidRPr="002818FC" w:rsidRDefault="00CE71D3" w:rsidP="00CF0015">
      <w:pPr>
        <w:pStyle w:val="FootnoteText"/>
        <w:rPr>
          <w:sz w:val="20"/>
          <w:szCs w:val="20"/>
        </w:rPr>
      </w:pPr>
      <w:r w:rsidRPr="002818FC">
        <w:rPr>
          <w:rStyle w:val="FootnoteReference"/>
          <w:rFonts w:ascii="Garamond" w:hAnsi="Garamond"/>
          <w:sz w:val="20"/>
          <w:szCs w:val="20"/>
        </w:rPr>
        <w:footnoteRef/>
      </w:r>
      <w:r w:rsidRPr="002818FC">
        <w:rPr>
          <w:sz w:val="20"/>
          <w:szCs w:val="20"/>
        </w:rPr>
        <w:t xml:space="preserve"> </w:t>
      </w:r>
      <w:r w:rsidRPr="002818FC">
        <w:rPr>
          <w:smallCaps/>
          <w:sz w:val="20"/>
          <w:szCs w:val="20"/>
        </w:rPr>
        <w:t>Hagerty</w:t>
      </w:r>
      <w:r w:rsidRPr="002818FC">
        <w:rPr>
          <w:sz w:val="20"/>
          <w:szCs w:val="20"/>
        </w:rPr>
        <w:t xml:space="preserve">, </w:t>
      </w:r>
      <w:r w:rsidRPr="002818FC">
        <w:rPr>
          <w:i/>
          <w:sz w:val="20"/>
          <w:szCs w:val="20"/>
        </w:rPr>
        <w:t>supra</w:t>
      </w:r>
      <w:r w:rsidRPr="002818FC">
        <w:rPr>
          <w:sz w:val="20"/>
          <w:szCs w:val="20"/>
        </w:rPr>
        <w:t xml:space="preserve"> note </w:t>
      </w:r>
      <w:r>
        <w:rPr>
          <w:sz w:val="20"/>
          <w:szCs w:val="20"/>
        </w:rPr>
        <w:t>XX</w:t>
      </w:r>
      <w:r w:rsidRPr="002818FC">
        <w:rPr>
          <w:sz w:val="20"/>
          <w:szCs w:val="20"/>
        </w:rPr>
        <w:t>, at 27.</w:t>
      </w:r>
    </w:p>
  </w:footnote>
  <w:footnote w:id="161">
    <w:p w14:paraId="4D87439E" w14:textId="77777777" w:rsidR="00CE71D3" w:rsidRPr="002818FC" w:rsidRDefault="00CE71D3" w:rsidP="002818FC">
      <w:pPr>
        <w:pStyle w:val="FootnoteText"/>
        <w:rPr>
          <w:sz w:val="20"/>
          <w:szCs w:val="20"/>
        </w:rPr>
      </w:pPr>
      <w:r w:rsidRPr="002818FC">
        <w:rPr>
          <w:rStyle w:val="FootnoteReference"/>
          <w:rFonts w:ascii="Garamond" w:hAnsi="Garamond"/>
          <w:sz w:val="20"/>
          <w:szCs w:val="20"/>
        </w:rPr>
        <w:footnoteRef/>
      </w:r>
      <w:r w:rsidRPr="002818FC">
        <w:rPr>
          <w:sz w:val="20"/>
          <w:szCs w:val="20"/>
        </w:rPr>
        <w:t xml:space="preserve"> Federal National Mortgage Association, Annual Report (Form 10-K) (Feb. 17, 2017); Federal Home Loan Mortgage Corporation, Annual Report (Form 10-K)(Feb. 16, 2017).</w:t>
      </w:r>
    </w:p>
  </w:footnote>
  <w:footnote w:id="162">
    <w:p w14:paraId="5939D818" w14:textId="77777777" w:rsidR="00CE71D3" w:rsidRPr="002818FC" w:rsidRDefault="00CE71D3" w:rsidP="002818FC">
      <w:pPr>
        <w:pStyle w:val="FootnoteText"/>
        <w:rPr>
          <w:sz w:val="20"/>
          <w:szCs w:val="20"/>
        </w:rPr>
      </w:pPr>
      <w:r w:rsidRPr="002818FC">
        <w:rPr>
          <w:rStyle w:val="FootnoteReference"/>
          <w:rFonts w:ascii="Garamond" w:hAnsi="Garamond"/>
          <w:sz w:val="20"/>
          <w:szCs w:val="20"/>
        </w:rPr>
        <w:footnoteRef/>
      </w:r>
      <w:r w:rsidRPr="002818FC">
        <w:rPr>
          <w:sz w:val="20"/>
          <w:szCs w:val="20"/>
        </w:rPr>
        <w:t xml:space="preserve"> The U.S. Gross Domestic Product for 2016 was $18.6 trillion.  Bureau of Economic Analysis, </w:t>
      </w:r>
      <w:r w:rsidRPr="002818FC">
        <w:rPr>
          <w:i/>
          <w:sz w:val="20"/>
          <w:szCs w:val="20"/>
        </w:rPr>
        <w:t>National Economic Accounts – Gross Domestic Product</w:t>
      </w:r>
      <w:r w:rsidRPr="002818FC">
        <w:rPr>
          <w:sz w:val="20"/>
          <w:szCs w:val="20"/>
        </w:rPr>
        <w:t>, https://www.bea.gov/national/index.htm#gdp (last visited Jan. 12, 2018).</w:t>
      </w:r>
    </w:p>
  </w:footnote>
  <w:footnote w:id="163">
    <w:p w14:paraId="0A33F4B9" w14:textId="77777777" w:rsidR="00CE71D3" w:rsidRPr="002818FC" w:rsidRDefault="00CE71D3" w:rsidP="002818FC">
      <w:pPr>
        <w:pStyle w:val="FootnoteText"/>
        <w:rPr>
          <w:sz w:val="20"/>
          <w:szCs w:val="20"/>
        </w:rPr>
      </w:pPr>
      <w:r w:rsidRPr="002818FC">
        <w:rPr>
          <w:rStyle w:val="FootnoteReference"/>
          <w:rFonts w:ascii="Garamond" w:hAnsi="Garamond"/>
          <w:sz w:val="20"/>
          <w:szCs w:val="20"/>
        </w:rPr>
        <w:footnoteRef/>
      </w:r>
      <w:r w:rsidRPr="002818FC">
        <w:rPr>
          <w:sz w:val="20"/>
          <w:szCs w:val="20"/>
        </w:rPr>
        <w:t xml:space="preserve"> Technically, Fannie was legally allowed to purchase non-FHA-insured loans as well, but only if they carried a 40% down payment or more.  Pub. L. 75-424, 52 Stat. 8, 23.  This effectively limited Fannie Mae to the purchase of FHA backed loans.  </w:t>
      </w:r>
      <w:r w:rsidRPr="002818FC">
        <w:rPr>
          <w:smallCaps/>
          <w:sz w:val="20"/>
          <w:szCs w:val="20"/>
        </w:rPr>
        <w:t>James R. Hagerty, The fateful history of Fannie Mae: New deal birth to mortgage crisis fall</w:t>
      </w:r>
      <w:r w:rsidRPr="002818FC">
        <w:rPr>
          <w:sz w:val="20"/>
          <w:szCs w:val="20"/>
        </w:rPr>
        <w:t xml:space="preserve"> 23 (2012).</w:t>
      </w:r>
    </w:p>
  </w:footnote>
  <w:footnote w:id="164">
    <w:p w14:paraId="064017BB" w14:textId="77777777" w:rsidR="00CE71D3" w:rsidRPr="002818FC" w:rsidRDefault="00CE71D3" w:rsidP="002818FC">
      <w:pPr>
        <w:pStyle w:val="FootnoteText"/>
        <w:rPr>
          <w:sz w:val="20"/>
          <w:szCs w:val="20"/>
        </w:rPr>
      </w:pPr>
      <w:r w:rsidRPr="002818FC">
        <w:rPr>
          <w:rStyle w:val="FootnoteReference"/>
          <w:rFonts w:ascii="Garamond" w:hAnsi="Garamond"/>
          <w:sz w:val="20"/>
          <w:szCs w:val="20"/>
        </w:rPr>
        <w:footnoteRef/>
      </w:r>
      <w:r w:rsidRPr="002818FC">
        <w:rPr>
          <w:sz w:val="20"/>
          <w:szCs w:val="20"/>
        </w:rPr>
        <w:t xml:space="preserve"> </w:t>
      </w:r>
      <w:r w:rsidRPr="002818FC">
        <w:rPr>
          <w:i/>
          <w:sz w:val="20"/>
          <w:szCs w:val="20"/>
        </w:rPr>
        <w:t>Id</w:t>
      </w:r>
      <w:r w:rsidRPr="002818FC">
        <w:rPr>
          <w:sz w:val="20"/>
          <w:szCs w:val="20"/>
        </w:rPr>
        <w:t>. at 27.</w:t>
      </w:r>
    </w:p>
  </w:footnote>
  <w:footnote w:id="165">
    <w:p w14:paraId="63DB0F16" w14:textId="77777777" w:rsidR="00CE71D3" w:rsidRPr="002818FC" w:rsidRDefault="00CE71D3" w:rsidP="002818FC">
      <w:pPr>
        <w:pStyle w:val="FootnoteText"/>
        <w:rPr>
          <w:sz w:val="20"/>
          <w:szCs w:val="20"/>
        </w:rPr>
      </w:pPr>
      <w:r w:rsidRPr="002818FC">
        <w:rPr>
          <w:rStyle w:val="FootnoteReference"/>
          <w:rFonts w:ascii="Garamond" w:hAnsi="Garamond"/>
          <w:sz w:val="20"/>
          <w:szCs w:val="20"/>
        </w:rPr>
        <w:footnoteRef/>
      </w:r>
      <w:r w:rsidRPr="002818FC">
        <w:rPr>
          <w:sz w:val="20"/>
          <w:szCs w:val="20"/>
        </w:rPr>
        <w:t xml:space="preserve"> U.S. Dep’t of Commerce, Bureau of Foreign and Domestic Commerce</w:t>
      </w:r>
      <w:r w:rsidRPr="002818FC">
        <w:rPr>
          <w:i/>
          <w:sz w:val="20"/>
          <w:szCs w:val="20"/>
        </w:rPr>
        <w:t>, Indebtedness in the United States 1929-41,</w:t>
      </w:r>
      <w:r w:rsidRPr="002818FC">
        <w:rPr>
          <w:sz w:val="20"/>
          <w:szCs w:val="20"/>
        </w:rPr>
        <w:t xml:space="preserve"> 21 </w:t>
      </w:r>
      <w:r w:rsidRPr="002818FC">
        <w:rPr>
          <w:smallCaps/>
          <w:sz w:val="20"/>
          <w:szCs w:val="20"/>
        </w:rPr>
        <w:t>Economic Series</w:t>
      </w:r>
      <w:r w:rsidRPr="002818FC">
        <w:rPr>
          <w:sz w:val="20"/>
          <w:szCs w:val="20"/>
        </w:rPr>
        <w:t>, May 1942, at 48.</w:t>
      </w:r>
    </w:p>
  </w:footnote>
  <w:footnote w:id="166">
    <w:p w14:paraId="65DEBAFF" w14:textId="77777777" w:rsidR="00CE71D3" w:rsidRPr="002818FC" w:rsidRDefault="00CE71D3" w:rsidP="002818FC">
      <w:pPr>
        <w:pStyle w:val="FootnoteText"/>
        <w:rPr>
          <w:sz w:val="20"/>
          <w:szCs w:val="20"/>
        </w:rPr>
      </w:pPr>
      <w:r w:rsidRPr="002818FC">
        <w:rPr>
          <w:rStyle w:val="FootnoteReference"/>
          <w:rFonts w:ascii="Garamond" w:hAnsi="Garamond"/>
          <w:sz w:val="20"/>
          <w:szCs w:val="20"/>
        </w:rPr>
        <w:footnoteRef/>
      </w:r>
      <w:r w:rsidRPr="002818FC">
        <w:rPr>
          <w:sz w:val="20"/>
          <w:szCs w:val="20"/>
        </w:rPr>
        <w:t xml:space="preserve"> </w:t>
      </w:r>
      <w:r w:rsidRPr="002818FC">
        <w:rPr>
          <w:smallCaps/>
          <w:sz w:val="20"/>
          <w:szCs w:val="20"/>
        </w:rPr>
        <w:t>Hagerty</w:t>
      </w:r>
      <w:r w:rsidRPr="002818FC">
        <w:rPr>
          <w:sz w:val="20"/>
          <w:szCs w:val="20"/>
        </w:rPr>
        <w:t xml:space="preserve">, </w:t>
      </w:r>
      <w:r w:rsidRPr="002818FC">
        <w:rPr>
          <w:i/>
          <w:sz w:val="20"/>
          <w:szCs w:val="20"/>
        </w:rPr>
        <w:t>supra</w:t>
      </w:r>
      <w:r w:rsidRPr="002818FC">
        <w:rPr>
          <w:sz w:val="20"/>
          <w:szCs w:val="20"/>
        </w:rPr>
        <w:t xml:space="preserve"> note 6, at 27.</w:t>
      </w:r>
    </w:p>
  </w:footnote>
  <w:footnote w:id="167">
    <w:p w14:paraId="2CB8BA14" w14:textId="77777777" w:rsidR="00CE71D3" w:rsidRPr="002818FC" w:rsidRDefault="00CE71D3" w:rsidP="002818FC">
      <w:pPr>
        <w:pStyle w:val="FootnoteText"/>
        <w:rPr>
          <w:i/>
          <w:sz w:val="20"/>
          <w:szCs w:val="20"/>
        </w:rPr>
      </w:pPr>
      <w:r w:rsidRPr="002818FC">
        <w:rPr>
          <w:rStyle w:val="FootnoteReference"/>
          <w:rFonts w:ascii="Garamond" w:hAnsi="Garamond"/>
          <w:sz w:val="20"/>
          <w:szCs w:val="20"/>
        </w:rPr>
        <w:footnoteRef/>
      </w:r>
      <w:r w:rsidRPr="002818FC">
        <w:rPr>
          <w:sz w:val="20"/>
          <w:szCs w:val="20"/>
        </w:rPr>
        <w:t xml:space="preserve"> Housing Act of 1948, Pub. L. 80-864, 62 Stat. 1206, 1207 (codified throughout 12 U.S.C. §§ 1701-1750 (2012)).  At this point, there were no banking crises in sight.  What was in sight, however, was a substantial shortage of available housing for veterans returning from World War II, which was clearly a primary motivating factor for this expansion of Fannie’s scope. Richard W. Bartke, </w:t>
      </w:r>
      <w:r w:rsidRPr="002818FC">
        <w:rPr>
          <w:i/>
          <w:sz w:val="20"/>
          <w:szCs w:val="20"/>
        </w:rPr>
        <w:t>Fannie Mae and the Secondary Mortgage Market</w:t>
      </w:r>
      <w:r w:rsidRPr="002818FC">
        <w:rPr>
          <w:sz w:val="20"/>
          <w:szCs w:val="20"/>
        </w:rPr>
        <w:t xml:space="preserve">, 66 </w:t>
      </w:r>
      <w:r w:rsidRPr="002818FC">
        <w:rPr>
          <w:smallCaps/>
          <w:sz w:val="20"/>
          <w:szCs w:val="20"/>
        </w:rPr>
        <w:t>Nw. U. L. Rev</w:t>
      </w:r>
      <w:r w:rsidRPr="002818FC">
        <w:rPr>
          <w:sz w:val="20"/>
          <w:szCs w:val="20"/>
        </w:rPr>
        <w:t>. 1 (1971).</w:t>
      </w:r>
    </w:p>
  </w:footnote>
  <w:footnote w:id="168">
    <w:p w14:paraId="45C76B41" w14:textId="77777777" w:rsidR="00CE71D3" w:rsidRPr="002818FC" w:rsidRDefault="00CE71D3" w:rsidP="002818FC">
      <w:pPr>
        <w:pStyle w:val="FootnoteText"/>
        <w:rPr>
          <w:sz w:val="20"/>
          <w:szCs w:val="20"/>
        </w:rPr>
      </w:pPr>
      <w:r w:rsidRPr="002818FC">
        <w:rPr>
          <w:rStyle w:val="FootnoteReference"/>
          <w:rFonts w:ascii="Garamond" w:hAnsi="Garamond"/>
          <w:sz w:val="20"/>
          <w:szCs w:val="20"/>
        </w:rPr>
        <w:footnoteRef/>
      </w:r>
      <w:r w:rsidRPr="002818FC">
        <w:rPr>
          <w:sz w:val="20"/>
          <w:szCs w:val="20"/>
        </w:rPr>
        <w:t xml:space="preserve"> </w:t>
      </w:r>
      <w:r w:rsidRPr="00861F29">
        <w:rPr>
          <w:sz w:val="20"/>
          <w:szCs w:val="20"/>
        </w:rPr>
        <w:t>Leo Grebler, David M. Blank &amp; Louis Winnick</w:t>
      </w:r>
      <w:r w:rsidRPr="002818FC">
        <w:rPr>
          <w:sz w:val="20"/>
          <w:szCs w:val="20"/>
        </w:rPr>
        <w:t xml:space="preserve">, </w:t>
      </w:r>
      <w:r w:rsidRPr="002818FC">
        <w:rPr>
          <w:i/>
          <w:sz w:val="20"/>
          <w:szCs w:val="20"/>
        </w:rPr>
        <w:t>The Role of Federal Aids in Mortgage Finance,</w:t>
      </w:r>
      <w:r w:rsidRPr="002818FC">
        <w:rPr>
          <w:sz w:val="20"/>
          <w:szCs w:val="20"/>
        </w:rPr>
        <w:t xml:space="preserve"> </w:t>
      </w:r>
      <w:r w:rsidRPr="002818FC">
        <w:rPr>
          <w:i/>
          <w:sz w:val="20"/>
          <w:szCs w:val="20"/>
        </w:rPr>
        <w:t>in</w:t>
      </w:r>
      <w:r w:rsidRPr="002818FC">
        <w:rPr>
          <w:sz w:val="20"/>
          <w:szCs w:val="20"/>
        </w:rPr>
        <w:t xml:space="preserve"> </w:t>
      </w:r>
      <w:r w:rsidRPr="002818FC">
        <w:rPr>
          <w:smallCaps/>
          <w:sz w:val="20"/>
          <w:szCs w:val="20"/>
        </w:rPr>
        <w:t>Capital Formation in Residential Real Estate: Trends and Prospects 238, 248 (</w:t>
      </w:r>
      <w:r w:rsidRPr="00861F29">
        <w:rPr>
          <w:sz w:val="20"/>
          <w:szCs w:val="20"/>
        </w:rPr>
        <w:t>Leo Grebler, David M. Blank &amp; Louis Winnick</w:t>
      </w:r>
      <w:r w:rsidRPr="002818FC">
        <w:rPr>
          <w:smallCaps/>
          <w:sz w:val="20"/>
          <w:szCs w:val="20"/>
        </w:rPr>
        <w:t xml:space="preserve"> </w:t>
      </w:r>
      <w:r w:rsidRPr="002818FC">
        <w:rPr>
          <w:sz w:val="20"/>
          <w:szCs w:val="20"/>
        </w:rPr>
        <w:t>eds</w:t>
      </w:r>
      <w:r w:rsidRPr="002818FC">
        <w:rPr>
          <w:smallCaps/>
          <w:sz w:val="20"/>
          <w:szCs w:val="20"/>
        </w:rPr>
        <w:t>., 1956).</w:t>
      </w:r>
    </w:p>
  </w:footnote>
  <w:footnote w:id="169">
    <w:p w14:paraId="0E6A7C3A" w14:textId="77777777" w:rsidR="00CE71D3" w:rsidRPr="002818FC" w:rsidRDefault="00CE71D3" w:rsidP="002818FC">
      <w:pPr>
        <w:pStyle w:val="FootnoteText"/>
        <w:rPr>
          <w:sz w:val="20"/>
          <w:szCs w:val="20"/>
        </w:rPr>
      </w:pPr>
      <w:r w:rsidRPr="002818FC">
        <w:rPr>
          <w:rStyle w:val="FootnoteReference"/>
          <w:rFonts w:ascii="Garamond" w:hAnsi="Garamond"/>
          <w:sz w:val="20"/>
          <w:szCs w:val="20"/>
        </w:rPr>
        <w:footnoteRef/>
      </w:r>
      <w:r w:rsidRPr="002818FC">
        <w:rPr>
          <w:sz w:val="20"/>
          <w:szCs w:val="20"/>
        </w:rPr>
        <w:t xml:space="preserve"> </w:t>
      </w:r>
      <w:r w:rsidRPr="002818FC">
        <w:rPr>
          <w:smallCaps/>
          <w:sz w:val="20"/>
          <w:szCs w:val="20"/>
        </w:rPr>
        <w:t>Timothy Howard, The Mortgage Wars: Inside Fannie Mae, Big-money Politics, and the Collapse of the American Dream</w:t>
      </w:r>
      <w:r w:rsidRPr="002818FC">
        <w:rPr>
          <w:sz w:val="20"/>
          <w:szCs w:val="20"/>
        </w:rPr>
        <w:t xml:space="preserve"> 21 (2013).</w:t>
      </w:r>
    </w:p>
  </w:footnote>
  <w:footnote w:id="170">
    <w:p w14:paraId="262C67DB" w14:textId="77777777" w:rsidR="00CE71D3" w:rsidRPr="002818FC" w:rsidRDefault="00CE71D3" w:rsidP="002818FC">
      <w:pPr>
        <w:pStyle w:val="FootnoteText"/>
        <w:rPr>
          <w:sz w:val="20"/>
          <w:szCs w:val="20"/>
        </w:rPr>
      </w:pPr>
      <w:r w:rsidRPr="002818FC">
        <w:rPr>
          <w:rStyle w:val="FootnoteReference"/>
          <w:rFonts w:ascii="Garamond" w:hAnsi="Garamond"/>
          <w:sz w:val="20"/>
          <w:szCs w:val="20"/>
        </w:rPr>
        <w:footnoteRef/>
      </w:r>
      <w:r w:rsidRPr="002818FC">
        <w:rPr>
          <w:sz w:val="20"/>
          <w:szCs w:val="20"/>
        </w:rPr>
        <w:t xml:space="preserve"> Emergency Home Finance Act of 1970, Pub. L. 91-351, 84 Stat. 450, 454 (codified throughout 12 U.S.C. §§ 1701-1750 (2012)).  This legislation allowed Fannie to purchase conventional loans, though it did still mandate somewhat enhanced security for them as compared to FHA and VA loans, such as requiring a down payment of at least 25% or the lender to share in at least 10% of the risks of the loan. Although the title of this legislation includes the word “emergency,” there is no plausible case to be made that it refers to anything like the kind of financial crisis that underlies the crisis-legislation hypothesis.  Instead, the “emergency” in the law’s name refers to the increasing interest rates at the time, which were making housing loans more difficult for consumers to acquire and which were a primary motivator for the legislation’s passage.  </w:t>
      </w:r>
      <w:r w:rsidRPr="002818FC">
        <w:rPr>
          <w:i/>
          <w:sz w:val="20"/>
          <w:szCs w:val="20"/>
        </w:rPr>
        <w:t>Congress Clears Emergency Home Finance Act Of 1970</w:t>
      </w:r>
      <w:r w:rsidRPr="002818FC">
        <w:rPr>
          <w:sz w:val="20"/>
          <w:szCs w:val="20"/>
        </w:rPr>
        <w:t xml:space="preserve">, </w:t>
      </w:r>
      <w:r w:rsidRPr="002818FC">
        <w:rPr>
          <w:i/>
          <w:sz w:val="20"/>
          <w:szCs w:val="20"/>
        </w:rPr>
        <w:t>in</w:t>
      </w:r>
      <w:r w:rsidRPr="002818FC">
        <w:rPr>
          <w:sz w:val="20"/>
          <w:szCs w:val="20"/>
        </w:rPr>
        <w:t xml:space="preserve"> </w:t>
      </w:r>
      <w:r w:rsidRPr="002818FC">
        <w:rPr>
          <w:smallCaps/>
          <w:sz w:val="20"/>
          <w:szCs w:val="20"/>
        </w:rPr>
        <w:t>CQ Almanac</w:t>
      </w:r>
      <w:r w:rsidRPr="002818FC">
        <w:rPr>
          <w:sz w:val="20"/>
          <w:szCs w:val="20"/>
        </w:rPr>
        <w:t xml:space="preserve"> 1970, at 10-277-10-287 (26th ed., 1971), </w:t>
      </w:r>
      <w:r w:rsidRPr="002818FC">
        <w:rPr>
          <w:i/>
          <w:sz w:val="20"/>
          <w:szCs w:val="20"/>
        </w:rPr>
        <w:t>available at</w:t>
      </w:r>
      <w:r w:rsidRPr="002818FC">
        <w:rPr>
          <w:sz w:val="20"/>
          <w:szCs w:val="20"/>
        </w:rPr>
        <w:t xml:space="preserve"> https://library.cqpress.com/cqalmanac/document.php?id=cqal70-1293146. In particular, there were no proximate banking or other financial related “crises” near the passage of this legislation.  Interest rates were rising, creating certain stresses within the financial system and for certain consumers and institutions interacting with that financial system.  This constitutes a “crisis” only to the extent that any exigent matter of public interest does – in other words, any conception of “crisis” that covers this piece of legislation would likely include essentially all legislation within its ambit. </w:t>
      </w:r>
    </w:p>
  </w:footnote>
  <w:footnote w:id="171">
    <w:p w14:paraId="10990B89" w14:textId="77777777" w:rsidR="00CE71D3" w:rsidRPr="002818FC" w:rsidRDefault="00CE71D3" w:rsidP="002818FC">
      <w:pPr>
        <w:pStyle w:val="FootnoteText"/>
        <w:rPr>
          <w:sz w:val="20"/>
          <w:szCs w:val="20"/>
        </w:rPr>
      </w:pPr>
      <w:r w:rsidRPr="002818FC">
        <w:rPr>
          <w:rStyle w:val="FootnoteReference"/>
          <w:rFonts w:ascii="Garamond" w:hAnsi="Garamond"/>
          <w:sz w:val="20"/>
          <w:szCs w:val="20"/>
        </w:rPr>
        <w:footnoteRef/>
      </w:r>
      <w:r w:rsidRPr="002818FC">
        <w:rPr>
          <w:sz w:val="20"/>
          <w:szCs w:val="20"/>
        </w:rPr>
        <w:t xml:space="preserve"> U.S. Dep’t of Housing and Urban Development, Office of Policy Development and Research, </w:t>
      </w:r>
      <w:r w:rsidRPr="002818FC">
        <w:rPr>
          <w:i/>
          <w:sz w:val="20"/>
          <w:szCs w:val="20"/>
        </w:rPr>
        <w:t>U.S. Housing Market Conditions – Historical Data – Table 16. Mortgage Originations, 1-4 Family Units by Loan Type: 1970-Present</w:t>
      </w:r>
      <w:r w:rsidRPr="002818FC">
        <w:rPr>
          <w:sz w:val="20"/>
          <w:szCs w:val="20"/>
        </w:rPr>
        <w:t>, https://www.huduser.gov/periodicals/ushmc/spring97/histdat2.html (last visited Jan. 12, 2018).</w:t>
      </w:r>
    </w:p>
  </w:footnote>
  <w:footnote w:id="172">
    <w:p w14:paraId="5A5C4B7A" w14:textId="77777777" w:rsidR="00CE71D3" w:rsidRPr="002818FC" w:rsidRDefault="00CE71D3" w:rsidP="002818FC">
      <w:pPr>
        <w:pStyle w:val="FootnoteText"/>
        <w:rPr>
          <w:sz w:val="20"/>
          <w:szCs w:val="20"/>
        </w:rPr>
      </w:pPr>
      <w:r w:rsidRPr="002818FC">
        <w:rPr>
          <w:rStyle w:val="FootnoteReference"/>
          <w:rFonts w:ascii="Garamond" w:hAnsi="Garamond"/>
          <w:sz w:val="20"/>
          <w:szCs w:val="20"/>
        </w:rPr>
        <w:footnoteRef/>
      </w:r>
      <w:r w:rsidRPr="002818FC">
        <w:rPr>
          <w:sz w:val="20"/>
          <w:szCs w:val="20"/>
        </w:rPr>
        <w:t xml:space="preserve"> </w:t>
      </w:r>
      <w:r w:rsidRPr="002818FC">
        <w:rPr>
          <w:i/>
          <w:sz w:val="20"/>
          <w:szCs w:val="20"/>
        </w:rPr>
        <w:t>See, e.g.</w:t>
      </w:r>
      <w:r w:rsidRPr="002818FC">
        <w:rPr>
          <w:sz w:val="20"/>
          <w:szCs w:val="20"/>
        </w:rPr>
        <w:t xml:space="preserve">, </w:t>
      </w:r>
      <w:r w:rsidRPr="002818FC">
        <w:rPr>
          <w:smallCaps/>
          <w:sz w:val="20"/>
          <w:szCs w:val="20"/>
        </w:rPr>
        <w:t>Viral V. Acharya et. al., Guaranteed to Fail: Fannie Mae, Freddie Mac, and the Debacle of Mortgage Finance</w:t>
      </w:r>
      <w:r w:rsidRPr="002818FC">
        <w:rPr>
          <w:sz w:val="20"/>
          <w:szCs w:val="20"/>
        </w:rPr>
        <w:t xml:space="preserve"> 28 (2011); Alex Blumberg, </w:t>
      </w:r>
      <w:r w:rsidRPr="002818FC">
        <w:rPr>
          <w:i/>
          <w:sz w:val="20"/>
          <w:szCs w:val="20"/>
        </w:rPr>
        <w:t>Self-Fulfilling Prophecy: The Bailout of Fannie And Freddie</w:t>
      </w:r>
      <w:r w:rsidRPr="002818FC">
        <w:rPr>
          <w:sz w:val="20"/>
          <w:szCs w:val="20"/>
        </w:rPr>
        <w:t xml:space="preserve">, </w:t>
      </w:r>
      <w:r w:rsidRPr="002818FC">
        <w:rPr>
          <w:smallCaps/>
          <w:sz w:val="20"/>
          <w:szCs w:val="20"/>
        </w:rPr>
        <w:t>Planet Money</w:t>
      </w:r>
      <w:r w:rsidRPr="002818FC">
        <w:rPr>
          <w:sz w:val="20"/>
          <w:szCs w:val="20"/>
        </w:rPr>
        <w:t xml:space="preserve"> (March 29, 2011), https://www.npr.org/sections/money/2011/04/21/134863767/self-fulfilling-prophecy-the-bailout-of-fannie-and-freddie; Bethany McLean, </w:t>
      </w:r>
      <w:r w:rsidRPr="002818FC">
        <w:rPr>
          <w:i/>
          <w:sz w:val="20"/>
          <w:szCs w:val="20"/>
        </w:rPr>
        <w:t>Government-Backed Mortgage Lenders are Awful — and Essential</w:t>
      </w:r>
      <w:r w:rsidRPr="002818FC">
        <w:rPr>
          <w:sz w:val="20"/>
          <w:szCs w:val="20"/>
        </w:rPr>
        <w:t>, Washington Post (Oct. 15, 2015), agreeing with this perspective and also quoting President Barack Obama expressing similar sentiments in describing the GSE business model as “heads [they] win, tails taxpayers lose.”</w:t>
      </w:r>
    </w:p>
  </w:footnote>
  <w:footnote w:id="173">
    <w:p w14:paraId="21C876D1" w14:textId="77777777" w:rsidR="00CE71D3" w:rsidRPr="002818FC" w:rsidRDefault="00CE71D3" w:rsidP="002818FC">
      <w:pPr>
        <w:pStyle w:val="FootnoteText"/>
        <w:rPr>
          <w:sz w:val="20"/>
          <w:szCs w:val="20"/>
        </w:rPr>
      </w:pPr>
      <w:r w:rsidRPr="002818FC">
        <w:rPr>
          <w:rStyle w:val="FootnoteReference"/>
          <w:rFonts w:ascii="Garamond" w:hAnsi="Garamond"/>
          <w:sz w:val="20"/>
          <w:szCs w:val="20"/>
        </w:rPr>
        <w:footnoteRef/>
      </w:r>
      <w:r w:rsidRPr="002818FC">
        <w:rPr>
          <w:sz w:val="20"/>
          <w:szCs w:val="20"/>
        </w:rPr>
        <w:t xml:space="preserve"> Housing Act of 1954. Pub. L. 83-560, 68 Stat. 590, 612-614 (codified throughout 12 U.S.C. §§ 1701-1750 (2012)).</w:t>
      </w:r>
    </w:p>
  </w:footnote>
  <w:footnote w:id="174">
    <w:p w14:paraId="2282EE31" w14:textId="77777777" w:rsidR="00CE71D3" w:rsidRPr="002818FC" w:rsidRDefault="00CE71D3" w:rsidP="002818FC">
      <w:pPr>
        <w:pStyle w:val="FootnoteText"/>
        <w:rPr>
          <w:sz w:val="20"/>
          <w:szCs w:val="20"/>
        </w:rPr>
      </w:pPr>
      <w:r w:rsidRPr="002818FC">
        <w:rPr>
          <w:rStyle w:val="FootnoteReference"/>
          <w:rFonts w:ascii="Garamond" w:hAnsi="Garamond"/>
          <w:sz w:val="20"/>
          <w:szCs w:val="20"/>
        </w:rPr>
        <w:footnoteRef/>
      </w:r>
      <w:r w:rsidRPr="002818FC">
        <w:rPr>
          <w:sz w:val="20"/>
          <w:szCs w:val="20"/>
        </w:rPr>
        <w:t xml:space="preserve"> Housing and Urban Development Act of 1968. Pub. L. 90–448, 82 Stat. 476, 536 (codified throughout 12 U.S.C. §§ 1701-1750 (2012)).  As has been widely reported, much of the motivation for this privatization of Fannie was President Johnson’s desire to take its debt off of the federal books as a way of downplaying the growing costs of the Vietnam War. </w:t>
      </w:r>
      <w:r w:rsidRPr="002818FC">
        <w:rPr>
          <w:smallCaps/>
          <w:sz w:val="20"/>
          <w:szCs w:val="20"/>
        </w:rPr>
        <w:t>Hagerty</w:t>
      </w:r>
      <w:r w:rsidRPr="002818FC">
        <w:rPr>
          <w:sz w:val="20"/>
          <w:szCs w:val="20"/>
        </w:rPr>
        <w:t xml:space="preserve">, </w:t>
      </w:r>
      <w:r w:rsidRPr="002818FC">
        <w:rPr>
          <w:i/>
          <w:sz w:val="20"/>
          <w:szCs w:val="20"/>
        </w:rPr>
        <w:t>supra</w:t>
      </w:r>
      <w:r w:rsidRPr="002818FC">
        <w:rPr>
          <w:sz w:val="20"/>
          <w:szCs w:val="20"/>
        </w:rPr>
        <w:t xml:space="preserve"> note 6, at 36.  Other accounts of the Housing and Urban Development Act of 1968 cite additional Congressional motivations as seeking to address the continued need for more affordable housing in the country, as the Act contained various other provisions to promote that as well.  Gilbert A. Bartlett, </w:t>
      </w:r>
      <w:r w:rsidRPr="002818FC">
        <w:rPr>
          <w:i/>
          <w:sz w:val="20"/>
          <w:szCs w:val="20"/>
        </w:rPr>
        <w:t>The Housing and Urban Development Act of 1968: Private Enterprise and Low-Income Housing</w:t>
      </w:r>
      <w:r w:rsidRPr="002818FC">
        <w:rPr>
          <w:sz w:val="20"/>
          <w:szCs w:val="20"/>
        </w:rPr>
        <w:t xml:space="preserve">, 10 </w:t>
      </w:r>
      <w:r w:rsidRPr="002818FC">
        <w:rPr>
          <w:smallCaps/>
          <w:sz w:val="20"/>
          <w:szCs w:val="20"/>
        </w:rPr>
        <w:t>Wm. &amp; Mary L. Rev</w:t>
      </w:r>
      <w:r w:rsidRPr="002818FC">
        <w:rPr>
          <w:sz w:val="20"/>
          <w:szCs w:val="20"/>
        </w:rPr>
        <w:t>. 1 (1969).  There were no banking crises in sight when this legislation was passed, nor any meaningful indication that this move, which turned out to be pivotal for shaping the trajectory and influence of Fannie, was in any way a response to financial crises.</w:t>
      </w:r>
    </w:p>
  </w:footnote>
  <w:footnote w:id="175">
    <w:p w14:paraId="13F8A578" w14:textId="73B6184B" w:rsidR="00CE71D3" w:rsidRPr="002818FC" w:rsidRDefault="00CE71D3" w:rsidP="002818FC">
      <w:pPr>
        <w:pStyle w:val="FootnoteText"/>
        <w:rPr>
          <w:sz w:val="20"/>
          <w:szCs w:val="20"/>
        </w:rPr>
      </w:pPr>
      <w:r w:rsidRPr="002818FC">
        <w:rPr>
          <w:rStyle w:val="FootnoteReference"/>
          <w:rFonts w:ascii="Garamond" w:hAnsi="Garamond"/>
          <w:sz w:val="20"/>
          <w:szCs w:val="20"/>
        </w:rPr>
        <w:footnoteRef/>
      </w:r>
      <w:r w:rsidRPr="002818FC">
        <w:rPr>
          <w:sz w:val="20"/>
          <w:szCs w:val="20"/>
        </w:rPr>
        <w:t xml:space="preserve"> Housing Act of 1954. Pub. L. 83-560, 68 Stat. 590, 612-614.  Thus, Ginnie was created in the same Act that provided for the privatization of Fannie.  See generally </w:t>
      </w:r>
      <w:r w:rsidRPr="002818FC">
        <w:rPr>
          <w:smallCaps/>
          <w:sz w:val="20"/>
          <w:szCs w:val="20"/>
        </w:rPr>
        <w:t>Hagerty</w:t>
      </w:r>
      <w:r w:rsidRPr="002818FC">
        <w:rPr>
          <w:sz w:val="20"/>
          <w:szCs w:val="20"/>
        </w:rPr>
        <w:t xml:space="preserve">, </w:t>
      </w:r>
      <w:r w:rsidRPr="002818FC">
        <w:rPr>
          <w:i/>
          <w:sz w:val="20"/>
          <w:szCs w:val="20"/>
        </w:rPr>
        <w:t>supra</w:t>
      </w:r>
      <w:r w:rsidRPr="002818FC">
        <w:rPr>
          <w:sz w:val="20"/>
          <w:szCs w:val="20"/>
        </w:rPr>
        <w:t xml:space="preserve"> note </w:t>
      </w:r>
      <w:r>
        <w:rPr>
          <w:sz w:val="20"/>
          <w:szCs w:val="20"/>
        </w:rPr>
        <w:t>XX</w:t>
      </w:r>
      <w:r w:rsidRPr="002818FC">
        <w:rPr>
          <w:sz w:val="20"/>
          <w:szCs w:val="20"/>
        </w:rPr>
        <w:t>, at 38.</w:t>
      </w:r>
    </w:p>
  </w:footnote>
  <w:footnote w:id="176">
    <w:p w14:paraId="44F0B400" w14:textId="5F8BAA1B" w:rsidR="00CE71D3" w:rsidRPr="002818FC" w:rsidRDefault="00CE71D3" w:rsidP="002818FC">
      <w:pPr>
        <w:pStyle w:val="FootnoteText"/>
        <w:rPr>
          <w:sz w:val="20"/>
          <w:szCs w:val="20"/>
        </w:rPr>
      </w:pPr>
      <w:r w:rsidRPr="002818FC">
        <w:rPr>
          <w:rStyle w:val="FootnoteReference"/>
          <w:rFonts w:ascii="Garamond" w:hAnsi="Garamond"/>
          <w:sz w:val="20"/>
          <w:szCs w:val="20"/>
        </w:rPr>
        <w:footnoteRef/>
      </w:r>
      <w:r w:rsidRPr="002818FC">
        <w:rPr>
          <w:sz w:val="20"/>
          <w:szCs w:val="20"/>
        </w:rPr>
        <w:t xml:space="preserve"> </w:t>
      </w:r>
      <w:r w:rsidRPr="002818FC">
        <w:rPr>
          <w:smallCaps/>
          <w:sz w:val="20"/>
          <w:szCs w:val="20"/>
        </w:rPr>
        <w:t>Howard</w:t>
      </w:r>
      <w:r w:rsidRPr="002818FC">
        <w:rPr>
          <w:sz w:val="20"/>
          <w:szCs w:val="20"/>
        </w:rPr>
        <w:t xml:space="preserve">, </w:t>
      </w:r>
      <w:r w:rsidRPr="002818FC">
        <w:rPr>
          <w:i/>
          <w:sz w:val="20"/>
          <w:szCs w:val="20"/>
        </w:rPr>
        <w:t>supra</w:t>
      </w:r>
      <w:r w:rsidRPr="002818FC">
        <w:rPr>
          <w:sz w:val="20"/>
          <w:szCs w:val="20"/>
        </w:rPr>
        <w:t xml:space="preserve"> note</w:t>
      </w:r>
      <w:r>
        <w:rPr>
          <w:sz w:val="20"/>
          <w:szCs w:val="20"/>
        </w:rPr>
        <w:t xml:space="preserve"> XX</w:t>
      </w:r>
      <w:r w:rsidRPr="002818FC">
        <w:rPr>
          <w:sz w:val="20"/>
          <w:szCs w:val="20"/>
        </w:rPr>
        <w:t>, at 117.  Fannie and Freddie soon followed with their own MBS issuances, further illustrating the wide-ranging impact that these entities, shaped by non-crisis legislation, have had on the financial system.</w:t>
      </w:r>
    </w:p>
  </w:footnote>
  <w:footnote w:id="177">
    <w:p w14:paraId="613641CF" w14:textId="77777777" w:rsidR="00CE71D3" w:rsidRPr="002818FC" w:rsidRDefault="00CE71D3" w:rsidP="002818FC">
      <w:pPr>
        <w:pStyle w:val="FootnoteText"/>
        <w:rPr>
          <w:sz w:val="20"/>
          <w:szCs w:val="20"/>
        </w:rPr>
      </w:pPr>
      <w:r w:rsidRPr="002818FC">
        <w:rPr>
          <w:rStyle w:val="FootnoteReference"/>
          <w:rFonts w:ascii="Garamond" w:hAnsi="Garamond"/>
          <w:sz w:val="20"/>
          <w:szCs w:val="20"/>
        </w:rPr>
        <w:footnoteRef/>
      </w:r>
      <w:r w:rsidRPr="002818FC">
        <w:rPr>
          <w:sz w:val="20"/>
          <w:szCs w:val="20"/>
        </w:rPr>
        <w:t xml:space="preserve"> Ginnie Mae, </w:t>
      </w:r>
      <w:r w:rsidRPr="002818FC">
        <w:rPr>
          <w:i/>
          <w:sz w:val="20"/>
          <w:szCs w:val="20"/>
        </w:rPr>
        <w:t>Annual Report 2016</w:t>
      </w:r>
      <w:r w:rsidRPr="002818FC">
        <w:rPr>
          <w:sz w:val="20"/>
          <w:szCs w:val="20"/>
        </w:rPr>
        <w:t>, https://www.ginniemae.gov/about_us/what_we_do/Annual_Reports/annual_report16.pdf (last visited Jan. 12, 2018).</w:t>
      </w:r>
    </w:p>
  </w:footnote>
  <w:footnote w:id="178">
    <w:p w14:paraId="79878BEB" w14:textId="77777777" w:rsidR="00CE71D3" w:rsidRPr="002818FC" w:rsidRDefault="00CE71D3" w:rsidP="002818FC">
      <w:pPr>
        <w:pStyle w:val="FootnoteText"/>
        <w:rPr>
          <w:sz w:val="20"/>
          <w:szCs w:val="20"/>
        </w:rPr>
      </w:pPr>
      <w:r w:rsidRPr="002818FC">
        <w:rPr>
          <w:rStyle w:val="FootnoteReference"/>
          <w:rFonts w:ascii="Garamond" w:hAnsi="Garamond"/>
          <w:sz w:val="20"/>
          <w:szCs w:val="20"/>
        </w:rPr>
        <w:footnoteRef/>
      </w:r>
      <w:r w:rsidRPr="002818FC">
        <w:rPr>
          <w:sz w:val="20"/>
          <w:szCs w:val="20"/>
        </w:rPr>
        <w:t xml:space="preserve"> Emergency Home Finance Act of 1970, Pub. L. 91-351, 84 Stat. 450, 452 (codified throughout 12 U.S.C. §§ 1701-1750 (2012)); </w:t>
      </w:r>
      <w:r w:rsidRPr="002818FC">
        <w:rPr>
          <w:i/>
          <w:sz w:val="20"/>
          <w:szCs w:val="20"/>
        </w:rPr>
        <w:t xml:space="preserve">see also </w:t>
      </w:r>
      <w:r w:rsidRPr="002818FC">
        <w:rPr>
          <w:smallCaps/>
          <w:sz w:val="20"/>
          <w:szCs w:val="20"/>
        </w:rPr>
        <w:t>Hagerty</w:t>
      </w:r>
      <w:r w:rsidRPr="002818FC">
        <w:rPr>
          <w:sz w:val="20"/>
          <w:szCs w:val="20"/>
        </w:rPr>
        <w:t xml:space="preserve">, </w:t>
      </w:r>
      <w:r w:rsidRPr="002818FC">
        <w:rPr>
          <w:i/>
          <w:sz w:val="20"/>
          <w:szCs w:val="20"/>
        </w:rPr>
        <w:t>supra</w:t>
      </w:r>
      <w:r w:rsidRPr="002818FC">
        <w:rPr>
          <w:sz w:val="20"/>
          <w:szCs w:val="20"/>
        </w:rPr>
        <w:t xml:space="preserve"> note 6 at 50.  This was the same legislation that expanded the scope of Fannie’s mortgage purchases to include conventional loans.  See </w:t>
      </w:r>
      <w:r w:rsidRPr="002818FC">
        <w:rPr>
          <w:i/>
          <w:sz w:val="20"/>
          <w:szCs w:val="20"/>
        </w:rPr>
        <w:t>supra</w:t>
      </w:r>
      <w:r w:rsidRPr="002818FC">
        <w:rPr>
          <w:sz w:val="20"/>
          <w:szCs w:val="20"/>
        </w:rPr>
        <w:t xml:space="preserve"> note 13 for discussion of this act, the motivation behind its passage, and the lack of connection between this and financial crises.</w:t>
      </w:r>
    </w:p>
  </w:footnote>
  <w:footnote w:id="179">
    <w:p w14:paraId="600FC1E3" w14:textId="77777777" w:rsidR="00CE71D3" w:rsidRPr="002818FC" w:rsidRDefault="00CE71D3" w:rsidP="002818FC">
      <w:pPr>
        <w:pStyle w:val="FootnoteText"/>
        <w:rPr>
          <w:sz w:val="20"/>
          <w:szCs w:val="20"/>
        </w:rPr>
      </w:pPr>
      <w:r w:rsidRPr="002818FC">
        <w:rPr>
          <w:rStyle w:val="FootnoteReference"/>
          <w:rFonts w:ascii="Garamond" w:hAnsi="Garamond"/>
          <w:sz w:val="20"/>
          <w:szCs w:val="20"/>
        </w:rPr>
        <w:footnoteRef/>
      </w:r>
      <w:r w:rsidRPr="002818FC">
        <w:rPr>
          <w:sz w:val="20"/>
          <w:szCs w:val="20"/>
        </w:rPr>
        <w:t xml:space="preserve"> Federal Home Loan Mortgage Corporation, Annual Report (Form 10-K)(Feb. 16, 2017).</w:t>
      </w:r>
    </w:p>
  </w:footnote>
  <w:footnote w:id="180">
    <w:p w14:paraId="578E03B2" w14:textId="77777777" w:rsidR="00CE71D3" w:rsidRPr="002818FC" w:rsidRDefault="00CE71D3" w:rsidP="002818FC">
      <w:pPr>
        <w:pStyle w:val="FootnoteText"/>
        <w:rPr>
          <w:sz w:val="20"/>
          <w:szCs w:val="20"/>
        </w:rPr>
      </w:pPr>
      <w:r w:rsidRPr="002818FC">
        <w:rPr>
          <w:rStyle w:val="FootnoteReference"/>
          <w:rFonts w:ascii="Garamond" w:hAnsi="Garamond"/>
          <w:sz w:val="20"/>
          <w:szCs w:val="20"/>
        </w:rPr>
        <w:footnoteRef/>
      </w:r>
      <w:r w:rsidRPr="002818FC">
        <w:rPr>
          <w:sz w:val="20"/>
          <w:szCs w:val="20"/>
        </w:rPr>
        <w:t xml:space="preserve"> Education Amendments of 1972. Pub. L. 92-318, 86 Stat. 235, 265 (codified throughout 20 U.S.C. §§ 1001-1161 (2012)).</w:t>
      </w:r>
    </w:p>
  </w:footnote>
  <w:footnote w:id="181">
    <w:p w14:paraId="7E30A285" w14:textId="77777777" w:rsidR="00CE71D3" w:rsidRPr="002818FC" w:rsidRDefault="00CE71D3" w:rsidP="002818FC">
      <w:pPr>
        <w:pStyle w:val="FootnoteText"/>
        <w:rPr>
          <w:sz w:val="20"/>
          <w:szCs w:val="20"/>
        </w:rPr>
      </w:pPr>
      <w:r w:rsidRPr="002818FC">
        <w:rPr>
          <w:rStyle w:val="FootnoteReference"/>
          <w:rFonts w:ascii="Garamond" w:hAnsi="Garamond"/>
          <w:sz w:val="20"/>
          <w:szCs w:val="20"/>
        </w:rPr>
        <w:footnoteRef/>
      </w:r>
      <w:r w:rsidRPr="002818FC">
        <w:rPr>
          <w:sz w:val="20"/>
          <w:szCs w:val="20"/>
        </w:rPr>
        <w:t xml:space="preserve"> SLM Corporation, Annual Report (Form 10-K) (Feb. 24, 2017).</w:t>
      </w:r>
    </w:p>
  </w:footnote>
  <w:footnote w:id="182">
    <w:p w14:paraId="2AD7C6DF" w14:textId="77777777" w:rsidR="00CE71D3" w:rsidRPr="002818FC" w:rsidRDefault="00CE71D3" w:rsidP="002818FC">
      <w:pPr>
        <w:pStyle w:val="FootnoteText"/>
        <w:rPr>
          <w:sz w:val="20"/>
          <w:szCs w:val="20"/>
        </w:rPr>
      </w:pPr>
      <w:r w:rsidRPr="002818FC">
        <w:rPr>
          <w:rStyle w:val="FootnoteReference"/>
          <w:rFonts w:ascii="Garamond" w:hAnsi="Garamond"/>
          <w:sz w:val="20"/>
          <w:szCs w:val="20"/>
        </w:rPr>
        <w:footnoteRef/>
      </w:r>
      <w:r w:rsidRPr="002818FC">
        <w:rPr>
          <w:sz w:val="20"/>
          <w:szCs w:val="20"/>
        </w:rPr>
        <w:t xml:space="preserve"> SLM Corporation, Sallie Mae Investor Presentation - First Quarter 2016 (Jan. 20, 2016), https://www.salliemae.com/assets/about/investors/webcasts/SLM_Investor_Presentation_Q1_2016.pdf</w:t>
      </w:r>
    </w:p>
  </w:footnote>
  <w:footnote w:id="183">
    <w:p w14:paraId="5B9F7290" w14:textId="714BC0C2" w:rsidR="00CE71D3" w:rsidRPr="002818FC" w:rsidRDefault="00CE71D3" w:rsidP="002818FC">
      <w:pPr>
        <w:pStyle w:val="FootnoteText"/>
        <w:rPr>
          <w:i/>
        </w:rPr>
      </w:pPr>
      <w:r w:rsidRPr="002818FC">
        <w:rPr>
          <w:rStyle w:val="FootnoteReference"/>
          <w:rFonts w:ascii="Garamond" w:hAnsi="Garamond"/>
        </w:rPr>
        <w:footnoteRef/>
      </w:r>
      <w:r w:rsidRPr="002818FC">
        <w:t xml:space="preserve"> </w:t>
      </w:r>
      <w:r w:rsidRPr="002818FC">
        <w:rPr>
          <w:smallCaps/>
          <w:sz w:val="20"/>
          <w:szCs w:val="20"/>
        </w:rPr>
        <w:t>McLean</w:t>
      </w:r>
      <w:r w:rsidRPr="002818FC">
        <w:t xml:space="preserve">, </w:t>
      </w:r>
      <w:r w:rsidRPr="002818FC">
        <w:rPr>
          <w:i/>
        </w:rPr>
        <w:t>supra</w:t>
      </w:r>
      <w:r w:rsidRPr="002818FC">
        <w:t xml:space="preserve"> note </w:t>
      </w:r>
      <w:r>
        <w:t>XX</w:t>
      </w:r>
      <w:r w:rsidRPr="002818FC">
        <w:t>, at 62.</w:t>
      </w:r>
    </w:p>
  </w:footnote>
  <w:footnote w:id="184">
    <w:p w14:paraId="0EFAE50B" w14:textId="77777777" w:rsidR="00CE71D3" w:rsidRPr="002818FC" w:rsidRDefault="00CE71D3" w:rsidP="002818FC">
      <w:pPr>
        <w:pStyle w:val="FootnoteText"/>
      </w:pPr>
      <w:r w:rsidRPr="002818FC">
        <w:rPr>
          <w:rStyle w:val="FootnoteReference"/>
          <w:rFonts w:ascii="Garamond" w:hAnsi="Garamond"/>
        </w:rPr>
        <w:footnoteRef/>
      </w:r>
      <w:r w:rsidRPr="002818FC">
        <w:t xml:space="preserve"> </w:t>
      </w:r>
      <w:r w:rsidRPr="002818FC">
        <w:rPr>
          <w:i/>
        </w:rPr>
        <w:t>Id.</w:t>
      </w:r>
    </w:p>
  </w:footnote>
  <w:footnote w:id="185">
    <w:p w14:paraId="4A318B98" w14:textId="77CAC6A9" w:rsidR="00CE71D3" w:rsidRPr="002818FC" w:rsidRDefault="00CE71D3" w:rsidP="002818FC">
      <w:pPr>
        <w:pStyle w:val="FootnoteText"/>
      </w:pPr>
      <w:r w:rsidRPr="002818FC">
        <w:rPr>
          <w:rStyle w:val="FootnoteReference"/>
          <w:rFonts w:ascii="Garamond" w:hAnsi="Garamond"/>
        </w:rPr>
        <w:footnoteRef/>
      </w:r>
      <w:r w:rsidRPr="002818FC">
        <w:t xml:space="preserve"> </w:t>
      </w:r>
      <w:r w:rsidRPr="00861F29">
        <w:rPr>
          <w:smallCaps/>
        </w:rPr>
        <w:t>Eccles</w:t>
      </w:r>
      <w:r w:rsidRPr="002818FC">
        <w:t xml:space="preserve">, </w:t>
      </w:r>
      <w:r>
        <w:rPr>
          <w:i/>
        </w:rPr>
        <w:t xml:space="preserve">supra </w:t>
      </w:r>
      <w:r>
        <w:t xml:space="preserve">note XX at </w:t>
      </w:r>
      <w:r w:rsidRPr="002818FC">
        <w:t xml:space="preserve">151; see also Florence Wagman Roisman, </w:t>
      </w:r>
      <w:r>
        <w:t>“</w:t>
      </w:r>
      <w:r w:rsidRPr="002818FC">
        <w:t>National Ingratitude: The Egregious Deficiencies of the United States</w:t>
      </w:r>
      <w:r>
        <w:t>’</w:t>
      </w:r>
      <w:r w:rsidRPr="002818FC">
        <w:t xml:space="preserve"> Housing Programs for Veterans and the </w:t>
      </w:r>
      <w:r>
        <w:t>‘</w:t>
      </w:r>
      <w:r w:rsidRPr="002818FC">
        <w:t>Public Scandal</w:t>
      </w:r>
      <w:r>
        <w:t>’</w:t>
      </w:r>
      <w:r w:rsidRPr="002818FC">
        <w:t xml:space="preserve"> of Veterans</w:t>
      </w:r>
      <w:r>
        <w:t>’</w:t>
      </w:r>
      <w:r w:rsidRPr="002818FC">
        <w:t xml:space="preserve"> Homelessness,</w:t>
      </w:r>
      <w:r>
        <w:t>”</w:t>
      </w:r>
      <w:r w:rsidRPr="002818FC">
        <w:t xml:space="preserve"> 38 </w:t>
      </w:r>
      <w:r w:rsidRPr="00861F29">
        <w:rPr>
          <w:smallCaps/>
        </w:rPr>
        <w:t>Ind. L. Rev. 103</w:t>
      </w:r>
      <w:r w:rsidRPr="002818FC">
        <w:t>, 118 (2005).</w:t>
      </w:r>
    </w:p>
  </w:footnote>
  <w:footnote w:id="186">
    <w:p w14:paraId="69C533B0" w14:textId="77777777" w:rsidR="00CE71D3" w:rsidRPr="002818FC" w:rsidRDefault="00CE71D3" w:rsidP="002818FC">
      <w:pPr>
        <w:pStyle w:val="FootnoteText"/>
      </w:pPr>
      <w:r w:rsidRPr="002818FC">
        <w:rPr>
          <w:rStyle w:val="FootnoteReference"/>
          <w:rFonts w:ascii="Garamond" w:hAnsi="Garamond"/>
        </w:rPr>
        <w:footnoteRef/>
      </w:r>
      <w:r w:rsidRPr="002818FC">
        <w:t xml:space="preserve"> </w:t>
      </w:r>
      <w:r w:rsidRPr="002818FC">
        <w:rPr>
          <w:i/>
        </w:rPr>
        <w:t>Id.</w:t>
      </w:r>
    </w:p>
  </w:footnote>
  <w:footnote w:id="187">
    <w:p w14:paraId="4D5CCF3D" w14:textId="5468D353" w:rsidR="00CE71D3" w:rsidRPr="002818FC" w:rsidRDefault="00CE71D3" w:rsidP="002818FC">
      <w:pPr>
        <w:pStyle w:val="FootnoteText"/>
      </w:pPr>
      <w:r w:rsidRPr="002818FC">
        <w:rPr>
          <w:rStyle w:val="FootnoteReference"/>
          <w:rFonts w:ascii="Garamond" w:hAnsi="Garamond"/>
        </w:rPr>
        <w:footnoteRef/>
      </w:r>
      <w:r w:rsidRPr="002818FC">
        <w:t xml:space="preserve"> </w:t>
      </w:r>
      <w:r w:rsidRPr="002818FC">
        <w:rPr>
          <w:smallCaps/>
          <w:sz w:val="20"/>
          <w:szCs w:val="20"/>
        </w:rPr>
        <w:t>Hagerty</w:t>
      </w:r>
      <w:r w:rsidRPr="002818FC">
        <w:rPr>
          <w:sz w:val="20"/>
          <w:szCs w:val="20"/>
        </w:rPr>
        <w:t xml:space="preserve">, </w:t>
      </w:r>
      <w:r w:rsidRPr="002818FC">
        <w:rPr>
          <w:i/>
          <w:sz w:val="20"/>
          <w:szCs w:val="20"/>
        </w:rPr>
        <w:t>supra</w:t>
      </w:r>
      <w:r w:rsidRPr="002818FC">
        <w:rPr>
          <w:sz w:val="20"/>
          <w:szCs w:val="20"/>
        </w:rPr>
        <w:t xml:space="preserve"> note </w:t>
      </w:r>
      <w:r>
        <w:rPr>
          <w:sz w:val="20"/>
          <w:szCs w:val="20"/>
        </w:rPr>
        <w:t>XX</w:t>
      </w:r>
      <w:r w:rsidRPr="002818FC">
        <w:rPr>
          <w:sz w:val="20"/>
          <w:szCs w:val="20"/>
        </w:rPr>
        <w:t>,</w:t>
      </w:r>
      <w:r w:rsidRPr="002818FC">
        <w:t xml:space="preserve"> at 17-23; see also Wagman, </w:t>
      </w:r>
      <w:r w:rsidRPr="002818FC">
        <w:rPr>
          <w:i/>
        </w:rPr>
        <w:t>supra</w:t>
      </w:r>
      <w:r w:rsidRPr="002818FC">
        <w:t xml:space="preserve"> at 118.</w:t>
      </w:r>
    </w:p>
  </w:footnote>
  <w:footnote w:id="188">
    <w:p w14:paraId="7C872B00" w14:textId="77777777" w:rsidR="00CE71D3" w:rsidRPr="002818FC" w:rsidRDefault="00CE71D3" w:rsidP="002818FC">
      <w:pPr>
        <w:pStyle w:val="FootnoteText"/>
      </w:pPr>
      <w:r w:rsidRPr="002818FC">
        <w:rPr>
          <w:rStyle w:val="FootnoteReference"/>
          <w:rFonts w:ascii="Garamond" w:hAnsi="Garamond"/>
        </w:rPr>
        <w:footnoteRef/>
      </w:r>
      <w:r w:rsidRPr="002818FC">
        <w:t xml:space="preserve"> </w:t>
      </w:r>
      <w:r w:rsidRPr="002818FC">
        <w:rPr>
          <w:smallCaps/>
          <w:sz w:val="20"/>
          <w:szCs w:val="20"/>
        </w:rPr>
        <w:t>McLean</w:t>
      </w:r>
      <w:r w:rsidRPr="002818FC">
        <w:t xml:space="preserve">, </w:t>
      </w:r>
      <w:r w:rsidRPr="002818FC">
        <w:rPr>
          <w:i/>
        </w:rPr>
        <w:t>supra</w:t>
      </w:r>
      <w:r w:rsidRPr="002818FC">
        <w:t xml:space="preserve"> note 5, at 64.</w:t>
      </w:r>
    </w:p>
  </w:footnote>
  <w:footnote w:id="189">
    <w:p w14:paraId="6889A904" w14:textId="7BAB0BF8" w:rsidR="00CE71D3" w:rsidRPr="002818FC" w:rsidRDefault="00CE71D3" w:rsidP="002818FC">
      <w:pPr>
        <w:pStyle w:val="FootnoteText"/>
      </w:pPr>
      <w:r w:rsidRPr="002818FC">
        <w:rPr>
          <w:rStyle w:val="FootnoteReference"/>
          <w:rFonts w:ascii="Garamond" w:hAnsi="Garamond"/>
        </w:rPr>
        <w:footnoteRef/>
      </w:r>
      <w:r w:rsidRPr="002818FC">
        <w:t xml:space="preserve"> Carrozzo, </w:t>
      </w:r>
      <w:r>
        <w:rPr>
          <w:i/>
        </w:rPr>
        <w:t xml:space="preserve">supra </w:t>
      </w:r>
      <w:r>
        <w:t xml:space="preserve">note XX at </w:t>
      </w:r>
      <w:r w:rsidRPr="002818FC">
        <w:t>42.</w:t>
      </w:r>
    </w:p>
  </w:footnote>
  <w:footnote w:id="190">
    <w:p w14:paraId="0425EEC6" w14:textId="77777777" w:rsidR="00CE71D3" w:rsidRPr="002818FC" w:rsidRDefault="00CE71D3" w:rsidP="002818FC">
      <w:pPr>
        <w:pStyle w:val="FootnoteText"/>
      </w:pPr>
      <w:r w:rsidRPr="002818FC">
        <w:rPr>
          <w:rStyle w:val="FootnoteReference"/>
          <w:rFonts w:ascii="Garamond" w:hAnsi="Garamond"/>
        </w:rPr>
        <w:footnoteRef/>
      </w:r>
      <w:r w:rsidRPr="002818FC">
        <w:t xml:space="preserve"> </w:t>
      </w:r>
      <w:r w:rsidRPr="002818FC">
        <w:rPr>
          <w:i/>
        </w:rPr>
        <w:t>Id</w:t>
      </w:r>
      <w:r w:rsidRPr="002818FC">
        <w:t>.</w:t>
      </w:r>
    </w:p>
  </w:footnote>
  <w:footnote w:id="191">
    <w:p w14:paraId="3E45E01F" w14:textId="14721BEA" w:rsidR="00CE71D3" w:rsidRPr="002818FC" w:rsidRDefault="00CE71D3" w:rsidP="002818FC">
      <w:pPr>
        <w:pStyle w:val="FootnoteText"/>
      </w:pPr>
      <w:r w:rsidRPr="002818FC">
        <w:rPr>
          <w:rStyle w:val="FootnoteReference"/>
          <w:rFonts w:ascii="Garamond" w:hAnsi="Garamond"/>
        </w:rPr>
        <w:footnoteRef/>
      </w:r>
      <w:r w:rsidRPr="002818FC">
        <w:t xml:space="preserve"> Peter Dreier, </w:t>
      </w:r>
      <w:r>
        <w:t>“</w:t>
      </w:r>
      <w:r w:rsidRPr="002818FC">
        <w:t>Labor's Love Lost? Rebuilding Unions' Involvement in Federal Housing Policy,</w:t>
      </w:r>
      <w:r>
        <w:t>”</w:t>
      </w:r>
      <w:r w:rsidRPr="002818FC">
        <w:t xml:space="preserve"> 11 </w:t>
      </w:r>
      <w:r w:rsidRPr="00861F29">
        <w:rPr>
          <w:smallCaps/>
        </w:rPr>
        <w:t xml:space="preserve">Housing </w:t>
      </w:r>
      <w:r>
        <w:rPr>
          <w:smallCaps/>
        </w:rPr>
        <w:t>Pol’</w:t>
      </w:r>
      <w:r w:rsidRPr="00861F29">
        <w:rPr>
          <w:smallCaps/>
        </w:rPr>
        <w:t>y Debate</w:t>
      </w:r>
      <w:r w:rsidRPr="002818FC">
        <w:t xml:space="preserve"> 327, 327 (2000).</w:t>
      </w:r>
    </w:p>
  </w:footnote>
  <w:footnote w:id="192">
    <w:p w14:paraId="19B3D5F6" w14:textId="77777777" w:rsidR="00CE71D3" w:rsidRPr="002818FC" w:rsidRDefault="00CE71D3" w:rsidP="002818FC">
      <w:pPr>
        <w:pStyle w:val="FootnoteText"/>
      </w:pPr>
      <w:r w:rsidRPr="002818FC">
        <w:rPr>
          <w:rStyle w:val="FootnoteReference"/>
          <w:rFonts w:ascii="Garamond" w:hAnsi="Garamond"/>
        </w:rPr>
        <w:footnoteRef/>
      </w:r>
      <w:r w:rsidRPr="002818FC">
        <w:t xml:space="preserve"> Peter M. Carrozzo, Marketing the American Mortgage: The Emergency Home Finance Act of 1970, Standardization and the Secondary Market Revolution, 39 Real Prop. Prob. &amp; Tr. J. 765, 768-70. (2005)</w:t>
      </w:r>
    </w:p>
  </w:footnote>
  <w:footnote w:id="193">
    <w:p w14:paraId="232409E6" w14:textId="77777777" w:rsidR="00CE71D3" w:rsidRPr="002818FC" w:rsidRDefault="00CE71D3" w:rsidP="002818FC">
      <w:pPr>
        <w:pStyle w:val="FootnoteText"/>
      </w:pPr>
      <w:r w:rsidRPr="002818FC">
        <w:rPr>
          <w:rStyle w:val="FootnoteReference"/>
          <w:rFonts w:ascii="Garamond" w:hAnsi="Garamond"/>
        </w:rPr>
        <w:footnoteRef/>
      </w:r>
      <w:r w:rsidRPr="002818FC">
        <w:t xml:space="preserve"> </w:t>
      </w:r>
      <w:r w:rsidRPr="002818FC">
        <w:rPr>
          <w:i/>
        </w:rPr>
        <w:t>Id.</w:t>
      </w:r>
      <w:r w:rsidRPr="002818FC">
        <w:t xml:space="preserve"> at 783.</w:t>
      </w:r>
    </w:p>
  </w:footnote>
  <w:footnote w:id="194">
    <w:p w14:paraId="389C73A1" w14:textId="77777777" w:rsidR="00CE71D3" w:rsidRPr="002818FC" w:rsidRDefault="00CE71D3" w:rsidP="002818FC">
      <w:pPr>
        <w:pStyle w:val="FootnoteText"/>
      </w:pPr>
      <w:r w:rsidRPr="002818FC">
        <w:rPr>
          <w:rStyle w:val="FootnoteReference"/>
          <w:rFonts w:ascii="Garamond" w:hAnsi="Garamond"/>
        </w:rPr>
        <w:footnoteRef/>
      </w:r>
      <w:r w:rsidRPr="002818FC">
        <w:t xml:space="preserve"> </w:t>
      </w:r>
      <w:r w:rsidRPr="002818FC">
        <w:rPr>
          <w:i/>
        </w:rPr>
        <w:t>Id.</w:t>
      </w:r>
      <w:r w:rsidRPr="002818FC">
        <w:t xml:space="preserve"> at 783-84.</w:t>
      </w:r>
    </w:p>
  </w:footnote>
  <w:footnote w:id="195">
    <w:p w14:paraId="650CAE5E" w14:textId="77777777" w:rsidR="00CE71D3" w:rsidRPr="002818FC" w:rsidRDefault="00CE71D3" w:rsidP="002818FC">
      <w:pPr>
        <w:pStyle w:val="FootnoteText"/>
      </w:pPr>
      <w:r w:rsidRPr="002818FC">
        <w:rPr>
          <w:rStyle w:val="FootnoteReference"/>
          <w:rFonts w:ascii="Garamond" w:hAnsi="Garamond"/>
        </w:rPr>
        <w:footnoteRef/>
      </w:r>
      <w:r w:rsidRPr="002818FC">
        <w:t xml:space="preserve"> </w:t>
      </w:r>
      <w:r w:rsidRPr="002818FC">
        <w:rPr>
          <w:i/>
        </w:rPr>
        <w:t>Id.</w:t>
      </w:r>
      <w:r w:rsidRPr="002818FC">
        <w:t xml:space="preserve"> at 787.</w:t>
      </w:r>
    </w:p>
  </w:footnote>
  <w:footnote w:id="196">
    <w:p w14:paraId="328A45E8" w14:textId="77777777" w:rsidR="00CE71D3" w:rsidRPr="002818FC" w:rsidRDefault="00CE71D3" w:rsidP="002818FC">
      <w:pPr>
        <w:pStyle w:val="FootnoteText"/>
      </w:pPr>
      <w:r w:rsidRPr="002818FC">
        <w:rPr>
          <w:rStyle w:val="FootnoteReference"/>
          <w:rFonts w:ascii="Garamond" w:hAnsi="Garamond"/>
        </w:rPr>
        <w:footnoteRef/>
      </w:r>
      <w:r w:rsidRPr="002818FC">
        <w:t xml:space="preserve"> </w:t>
      </w:r>
      <w:r w:rsidRPr="002818FC">
        <w:rPr>
          <w:i/>
        </w:rPr>
        <w:t>Id. at 777-78</w:t>
      </w:r>
      <w:r w:rsidRPr="002818FC">
        <w:t>.</w:t>
      </w:r>
    </w:p>
  </w:footnote>
  <w:footnote w:id="197">
    <w:p w14:paraId="7DA8B57C" w14:textId="77777777" w:rsidR="00CE71D3" w:rsidRPr="002818FC" w:rsidRDefault="00CE71D3" w:rsidP="002818FC">
      <w:pPr>
        <w:pStyle w:val="FootnoteText"/>
      </w:pPr>
      <w:r w:rsidRPr="002818FC">
        <w:rPr>
          <w:rStyle w:val="FootnoteReference"/>
          <w:rFonts w:ascii="Garamond" w:hAnsi="Garamond"/>
        </w:rPr>
        <w:footnoteRef/>
      </w:r>
      <w:r w:rsidRPr="002818FC">
        <w:t xml:space="preserve"> </w:t>
      </w:r>
      <w:r w:rsidRPr="002818FC">
        <w:rPr>
          <w:i/>
        </w:rPr>
        <w:t>Id.</w:t>
      </w:r>
      <w:r w:rsidRPr="002818FC">
        <w:t xml:space="preserve"> at 779.</w:t>
      </w:r>
    </w:p>
  </w:footnote>
  <w:footnote w:id="198">
    <w:p w14:paraId="4C475EF1" w14:textId="77777777" w:rsidR="00CE71D3" w:rsidRPr="002818FC" w:rsidRDefault="00CE71D3" w:rsidP="002818FC">
      <w:pPr>
        <w:pStyle w:val="FootnoteText"/>
      </w:pPr>
      <w:r w:rsidRPr="002818FC">
        <w:rPr>
          <w:rStyle w:val="FootnoteReference"/>
          <w:rFonts w:ascii="Garamond" w:hAnsi="Garamond"/>
        </w:rPr>
        <w:footnoteRef/>
      </w:r>
      <w:r w:rsidRPr="002818FC">
        <w:t xml:space="preserve"> </w:t>
      </w:r>
      <w:r w:rsidRPr="002818FC">
        <w:rPr>
          <w:i/>
        </w:rPr>
        <w:t>Id.</w:t>
      </w:r>
      <w:r w:rsidRPr="002818FC">
        <w:t xml:space="preserve"> at 780.</w:t>
      </w:r>
    </w:p>
  </w:footnote>
  <w:footnote w:id="199">
    <w:p w14:paraId="691217FE" w14:textId="77777777" w:rsidR="00CE71D3" w:rsidRPr="002818FC" w:rsidRDefault="00CE71D3" w:rsidP="002818FC">
      <w:pPr>
        <w:pStyle w:val="FootnoteText"/>
      </w:pPr>
      <w:r w:rsidRPr="002818FC">
        <w:rPr>
          <w:rStyle w:val="FootnoteReference"/>
          <w:rFonts w:ascii="Garamond" w:hAnsi="Garamond"/>
        </w:rPr>
        <w:footnoteRef/>
      </w:r>
      <w:r w:rsidRPr="002818FC">
        <w:t xml:space="preserve"> </w:t>
      </w:r>
      <w:r w:rsidRPr="002818FC">
        <w:rPr>
          <w:i/>
        </w:rPr>
        <w:t>Id.</w:t>
      </w:r>
      <w:r w:rsidRPr="002818FC">
        <w:t xml:space="preserve"> at 773.</w:t>
      </w:r>
    </w:p>
  </w:footnote>
  <w:footnote w:id="200">
    <w:p w14:paraId="762F604F" w14:textId="77777777" w:rsidR="00CE71D3" w:rsidRPr="002818FC" w:rsidRDefault="00CE71D3" w:rsidP="002818FC">
      <w:pPr>
        <w:pStyle w:val="FootnoteText"/>
      </w:pPr>
      <w:r w:rsidRPr="002818FC">
        <w:rPr>
          <w:rStyle w:val="FootnoteReference"/>
          <w:rFonts w:ascii="Garamond" w:hAnsi="Garamond"/>
        </w:rPr>
        <w:footnoteRef/>
      </w:r>
      <w:r w:rsidRPr="002818FC">
        <w:t xml:space="preserve"> </w:t>
      </w:r>
      <w:r w:rsidRPr="002818FC">
        <w:rPr>
          <w:i/>
        </w:rPr>
        <w:t>Id.</w:t>
      </w:r>
      <w:r w:rsidRPr="002818FC">
        <w:t xml:space="preserve"> at 774-75.</w:t>
      </w:r>
    </w:p>
  </w:footnote>
  <w:footnote w:id="201">
    <w:p w14:paraId="128EAC44" w14:textId="77777777" w:rsidR="00CE71D3" w:rsidRPr="002818FC" w:rsidRDefault="00CE71D3" w:rsidP="002818FC">
      <w:pPr>
        <w:pStyle w:val="FootnoteText"/>
      </w:pPr>
      <w:r w:rsidRPr="002818FC">
        <w:rPr>
          <w:rStyle w:val="FootnoteReference"/>
          <w:rFonts w:ascii="Garamond" w:hAnsi="Garamond"/>
        </w:rPr>
        <w:footnoteRef/>
      </w:r>
      <w:r w:rsidRPr="002818FC">
        <w:t xml:space="preserve"> </w:t>
      </w:r>
      <w:r w:rsidRPr="002818FC">
        <w:rPr>
          <w:i/>
        </w:rPr>
        <w:t xml:space="preserve">Id. </w:t>
      </w:r>
      <w:r w:rsidRPr="002818FC">
        <w:t>at 794-95.</w:t>
      </w:r>
    </w:p>
  </w:footnote>
  <w:footnote w:id="202">
    <w:p w14:paraId="3C85D7AB" w14:textId="6BBE781B" w:rsidR="00CE71D3" w:rsidRDefault="00CE71D3">
      <w:pPr>
        <w:pStyle w:val="FootnoteText"/>
      </w:pPr>
      <w:r>
        <w:rPr>
          <w:rStyle w:val="FootnoteReference"/>
        </w:rPr>
        <w:footnoteRef/>
      </w:r>
      <w:r>
        <w:t xml:space="preserve"> Banking Act of 1933, Section 3(b)</w:t>
      </w:r>
    </w:p>
  </w:footnote>
  <w:footnote w:id="203">
    <w:p w14:paraId="14247770" w14:textId="7B392A73" w:rsidR="00CE71D3" w:rsidRPr="002818FC" w:rsidRDefault="00CE71D3" w:rsidP="00C42F90">
      <w:pPr>
        <w:pStyle w:val="FootnoteText"/>
      </w:pPr>
      <w:r w:rsidRPr="002818FC">
        <w:rPr>
          <w:rStyle w:val="FootnoteReference"/>
          <w:rFonts w:ascii="Garamond" w:hAnsi="Garamond"/>
        </w:rPr>
        <w:footnoteRef/>
      </w:r>
      <w:r w:rsidRPr="002818FC">
        <w:t xml:space="preserve"> Branch, Chain, and Group Banking: Hearings Before the Committee on Banking and Currency, House of Representatives Vol. 2, Part 11, 71 Cong. 1545 (1930) (statement of A. P. Giannini); “Transamerica--The Bank</w:t>
      </w:r>
      <w:r>
        <w:t xml:space="preserve"> H</w:t>
      </w:r>
      <w:r w:rsidRPr="002818FC">
        <w:t xml:space="preserve">olding Company Problem,” </w:t>
      </w:r>
      <w:r>
        <w:t xml:space="preserve">1 </w:t>
      </w:r>
      <w:r w:rsidRPr="00FF4A75">
        <w:rPr>
          <w:iCs/>
          <w:smallCaps/>
        </w:rPr>
        <w:t>Stan</w:t>
      </w:r>
      <w:r>
        <w:rPr>
          <w:iCs/>
          <w:smallCaps/>
        </w:rPr>
        <w:t>.</w:t>
      </w:r>
      <w:r w:rsidRPr="00FF4A75">
        <w:rPr>
          <w:iCs/>
          <w:smallCaps/>
        </w:rPr>
        <w:t xml:space="preserve"> L</w:t>
      </w:r>
      <w:r>
        <w:rPr>
          <w:iCs/>
          <w:smallCaps/>
        </w:rPr>
        <w:t>.</w:t>
      </w:r>
      <w:r w:rsidRPr="00FF4A75">
        <w:rPr>
          <w:iCs/>
          <w:smallCaps/>
        </w:rPr>
        <w:t xml:space="preserve"> Rev</w:t>
      </w:r>
      <w:r>
        <w:rPr>
          <w:iCs/>
          <w:smallCaps/>
        </w:rPr>
        <w:t xml:space="preserve">. 658 </w:t>
      </w:r>
      <w:r>
        <w:t>(</w:t>
      </w:r>
      <w:r w:rsidRPr="002818FC">
        <w:t xml:space="preserve">1949); Bank Holding Bill: Hearings before a subcommittee of the Committee on Banking and Currency, United States Senate, 81 Cong. 193-194 (1950) (Statement of W. L. Andrews, Vice President and Treasurer, TransAmerica Corp.); Bonbright and Means, The Holding Company, 333. “Timeplan System Field to Expand: Wider Sales Financing Program Announced,” </w:t>
      </w:r>
      <w:r w:rsidRPr="002818FC">
        <w:rPr>
          <w:iCs/>
        </w:rPr>
        <w:t>LAT</w:t>
      </w:r>
      <w:r w:rsidRPr="002818FC">
        <w:t xml:space="preserve">, April 23, 1941; “Bank of America Extends Plan,” </w:t>
      </w:r>
      <w:r w:rsidRPr="002818FC">
        <w:rPr>
          <w:iCs/>
        </w:rPr>
        <w:t>WSJ</w:t>
      </w:r>
      <w:r w:rsidRPr="002818FC">
        <w:t xml:space="preserve">, April 24, 1941; “E. A. Mattison, Former Bank Executive, Dies,” </w:t>
      </w:r>
      <w:r w:rsidRPr="002818FC">
        <w:rPr>
          <w:iCs/>
        </w:rPr>
        <w:t>LAT</w:t>
      </w:r>
      <w:r w:rsidRPr="002818FC">
        <w:t xml:space="preserve">, December 4, 1958. In 1954, TimePlan Inc. was listed as inactive on Transamerica’s balance sheet of non-banking assets (Control of Bank Holding Companies, 63 [Statement of William McChesney Martin, Jr., Chairman of the Federal Reserve]). </w:t>
      </w:r>
    </w:p>
  </w:footnote>
  <w:footnote w:id="204">
    <w:p w14:paraId="5606C553" w14:textId="77777777" w:rsidR="00CE71D3" w:rsidRPr="002818FC" w:rsidRDefault="00CE71D3" w:rsidP="00C42F90">
      <w:pPr>
        <w:pStyle w:val="FootnoteText"/>
      </w:pPr>
      <w:r w:rsidRPr="002818FC">
        <w:rPr>
          <w:rStyle w:val="FootnoteReference"/>
          <w:rFonts w:ascii="Garamond" w:hAnsi="Garamond"/>
        </w:rPr>
        <w:footnoteRef/>
      </w:r>
      <w:r w:rsidRPr="002818FC">
        <w:t xml:space="preserve"> Indeed, to portray Eccles as a friend to small banks is a mistake. Befitting a banker who controlled one of the largest holding companies in the U.S. before his entrance into government, Eccles hated small banks. Writing to Roosevelt in November 1936, he railed against their continued existence. “It is still possible for persons who have no competence in banking to open so-called banks,” the Fed Chairman complained, which “are in reality nothing more than pawn shops.” These “mushroom miscalled banks” he continued, accounted for “the greatest holocaust of bank failures” causing “the greatest losses and misery among their depositors and” bringing “a large share of discredit down upon the heads of bankers generally.”  Worse, “through their various associations groups of these so-called independent bankers have been the most implacable foes of this Administration.” Nevertheless, Eccles came to recognize that monopoly power on the other side of the market could also fundamentally undermine the national banking structure. Marriner Eccles to Franklin Roosevelt, 12 November 1936, folder 6, box 5, Eccles Papers, FRASER.</w:t>
      </w:r>
    </w:p>
  </w:footnote>
  <w:footnote w:id="205">
    <w:p w14:paraId="297826F1" w14:textId="482C102F" w:rsidR="00CE71D3" w:rsidRDefault="00CE71D3">
      <w:pPr>
        <w:pStyle w:val="FootnoteText"/>
      </w:pPr>
      <w:r>
        <w:rPr>
          <w:rStyle w:val="FootnoteReference"/>
        </w:rPr>
        <w:footnoteRef/>
      </w:r>
      <w:r>
        <w:t xml:space="preserve"> SHV citation </w:t>
      </w:r>
    </w:p>
  </w:footnote>
  <w:footnote w:id="206">
    <w:p w14:paraId="5CCCED24" w14:textId="259CAB3D" w:rsidR="00CE71D3" w:rsidRPr="002818FC" w:rsidRDefault="00CE71D3" w:rsidP="00C42F90">
      <w:pPr>
        <w:pStyle w:val="FootnoteText"/>
      </w:pPr>
      <w:r w:rsidRPr="002818FC">
        <w:rPr>
          <w:rStyle w:val="FootnoteReference"/>
          <w:rFonts w:ascii="Garamond" w:hAnsi="Garamond"/>
        </w:rPr>
        <w:footnoteRef/>
      </w:r>
      <w:r w:rsidRPr="002818FC">
        <w:t xml:space="preserve"> Transamerica Corp. v. Bd. of Governors of Fed. Reserve Sys., 206 F.2d 163, 169 (3d Cir. 1953).</w:t>
      </w:r>
      <w:r w:rsidRPr="00EC3EB8">
        <w:rPr>
          <w:sz w:val="24"/>
          <w:szCs w:val="24"/>
        </w:rPr>
        <w:t xml:space="preserve"> </w:t>
      </w:r>
      <w:r w:rsidRPr="00EC3EB8">
        <w:t xml:space="preserve">The decision to go after Giannini wasn’t only unsuccessful legally; it was also a professional and political disaster for Eccles. </w:t>
      </w:r>
      <w:r>
        <w:t xml:space="preserve">Giannini had many friends in the </w:t>
      </w:r>
      <w:r w:rsidRPr="00EC3EB8">
        <w:t>Truman Administration. And so it was, in 1946, that President Truman told Eccles that Truman would not reappoint Eccles as Fed Chair. Probably in a feint to push Eccles out, the president offered him the Vice Chairmanship instead. Eccles, to the president’s surprise, accepted the offer, which Truman promptly ignored. Eccles stayed on the Fed as a Governor for five more tumultuous years, but the Vice Chairmanship would go unfilled. Eccles and others believed that the failure of reappointment had everything to do with political pressure brought by the Gianninis, in retribution for the ill-fated TransAmerica antitrust litigation.</w:t>
      </w:r>
      <w:r>
        <w:t xml:space="preserve"> See </w:t>
      </w:r>
      <w:r w:rsidRPr="00EC3EB8">
        <w:rPr>
          <w:smallCaps/>
        </w:rPr>
        <w:t>Eccles</w:t>
      </w:r>
      <w:r>
        <w:t xml:space="preserve">, </w:t>
      </w:r>
      <w:r>
        <w:rPr>
          <w:i/>
        </w:rPr>
        <w:t xml:space="preserve">supra </w:t>
      </w:r>
      <w:r>
        <w:t xml:space="preserve">note XX at </w:t>
      </w:r>
      <w:r w:rsidRPr="00EC3EB8">
        <w:t xml:space="preserve">443-453; “The Clayton Act Proceeding in the Matter of the Transamerica Corp.,” in </w:t>
      </w:r>
      <w:r w:rsidRPr="00EC3EB8">
        <w:rPr>
          <w:iCs/>
          <w:smallCaps/>
        </w:rPr>
        <w:t>Control and Regulation of Bank Holding Companies</w:t>
      </w:r>
      <w:r w:rsidRPr="00EC3EB8">
        <w:t xml:space="preserve">, 47 (Appendix); “Eccles Blames Giannini Pressure for Ouster as U.S. Reserve Head,” </w:t>
      </w:r>
      <w:r w:rsidRPr="00EC3EB8">
        <w:rPr>
          <w:i/>
        </w:rPr>
        <w:t>NYT</w:t>
      </w:r>
      <w:r w:rsidRPr="00EC3EB8">
        <w:t>, June 17, 1951</w:t>
      </w:r>
    </w:p>
  </w:footnote>
  <w:footnote w:id="207">
    <w:p w14:paraId="1B9ADE04" w14:textId="69C65E88" w:rsidR="00CE71D3" w:rsidRDefault="00CE71D3">
      <w:pPr>
        <w:pStyle w:val="FootnoteText"/>
      </w:pPr>
      <w:r>
        <w:rPr>
          <w:rStyle w:val="FootnoteReference"/>
        </w:rPr>
        <w:footnoteRef/>
      </w:r>
      <w:r>
        <w:t xml:space="preserve"> </w:t>
      </w:r>
      <w:r w:rsidRPr="003468F0">
        <w:rPr>
          <w:i/>
          <w:iCs/>
        </w:rPr>
        <w:t>Control and Regulation of Bank Holding Companies</w:t>
      </w:r>
      <w:r w:rsidRPr="003468F0">
        <w:t>, 119 (Statement of W. J. Bryan, President, Independent Bankers Assn. of Amer.);</w:t>
      </w:r>
    </w:p>
  </w:footnote>
  <w:footnote w:id="208">
    <w:p w14:paraId="23FD005A" w14:textId="3D266319" w:rsidR="00CE71D3" w:rsidRPr="002818FC" w:rsidRDefault="00CE71D3" w:rsidP="00C42F90">
      <w:pPr>
        <w:pStyle w:val="FootnoteText"/>
      </w:pPr>
      <w:r w:rsidRPr="002818FC">
        <w:rPr>
          <w:rStyle w:val="FootnoteReference"/>
          <w:rFonts w:ascii="Garamond" w:hAnsi="Garamond"/>
        </w:rPr>
        <w:footnoteRef/>
      </w:r>
      <w:r w:rsidRPr="002818FC">
        <w:t xml:space="preserve"> 102 Cong. Rec. 6857 (1956) (statement of Sen. Paul H. Douglas).</w:t>
      </w:r>
    </w:p>
  </w:footnote>
  <w:footnote w:id="209">
    <w:p w14:paraId="3C033D36" w14:textId="77777777" w:rsidR="00CE71D3" w:rsidRPr="002818FC" w:rsidRDefault="00CE71D3" w:rsidP="00C42F90">
      <w:pPr>
        <w:pStyle w:val="FootnoteText"/>
      </w:pPr>
      <w:r w:rsidRPr="002818FC">
        <w:rPr>
          <w:rStyle w:val="FootnoteReference"/>
          <w:rFonts w:ascii="Garamond" w:hAnsi="Garamond"/>
        </w:rPr>
        <w:footnoteRef/>
      </w:r>
      <w:r w:rsidRPr="002818FC">
        <w:t xml:space="preserve"> Bank Holding Company Act, Sec 3(d)</w:t>
      </w:r>
    </w:p>
  </w:footnote>
  <w:footnote w:id="210">
    <w:p w14:paraId="63500327" w14:textId="77777777" w:rsidR="00CE71D3" w:rsidRPr="002818FC" w:rsidRDefault="00CE71D3" w:rsidP="00C42F90">
      <w:pPr>
        <w:pStyle w:val="FootnoteText"/>
      </w:pPr>
      <w:r w:rsidRPr="002818FC">
        <w:rPr>
          <w:rStyle w:val="FootnoteReference"/>
          <w:rFonts w:ascii="Garamond" w:hAnsi="Garamond"/>
        </w:rPr>
        <w:footnoteRef/>
      </w:r>
      <w:r w:rsidRPr="002818FC">
        <w:t xml:space="preserve"> </w:t>
      </w:r>
      <w:r w:rsidRPr="002818FC">
        <w:rPr>
          <w:i/>
        </w:rPr>
        <w:t>Bank Holding Company Act of 1956: Hearings on H.R. 7927, Amendments to S. 2557, Before the Comm. on Banking and Currency</w:t>
      </w:r>
      <w:r w:rsidRPr="002818FC">
        <w:t>, Executive Session, 84th Cong. 9, 19 (1956) (statement of Sen. A. Willis Robertson); 102 Cong. Rec. 6860 (1956) (statement of Sen Wallace F. Bennett).</w:t>
      </w:r>
    </w:p>
  </w:footnote>
  <w:footnote w:id="211">
    <w:p w14:paraId="734E83CB" w14:textId="0F756388" w:rsidR="00CE71D3" w:rsidRPr="00FF4A75" w:rsidRDefault="00CE71D3">
      <w:pPr>
        <w:pStyle w:val="FootnoteText"/>
        <w:rPr>
          <w:smallCaps/>
        </w:rPr>
      </w:pPr>
      <w:r>
        <w:rPr>
          <w:rStyle w:val="FootnoteReference"/>
        </w:rPr>
        <w:footnoteRef/>
      </w:r>
      <w:r>
        <w:t xml:space="preserve"> For an excellent overview of the BHCA on this and other fronts, see Saule T. Omarova, “That Which We Call A Bank: Revisiting the History of Bank Holding Company Regulations in the United States,” 31 </w:t>
      </w:r>
      <w:r>
        <w:rPr>
          <w:smallCaps/>
        </w:rPr>
        <w:t>Rev. of Banking &amp; Fin’l L. 113 (2011)</w:t>
      </w:r>
    </w:p>
  </w:footnote>
  <w:footnote w:id="212">
    <w:p w14:paraId="44FAA511" w14:textId="26FBA7FD" w:rsidR="00CE71D3" w:rsidRDefault="00CE71D3">
      <w:pPr>
        <w:pStyle w:val="FootnoteText"/>
      </w:pPr>
      <w:r>
        <w:rPr>
          <w:rStyle w:val="FootnoteReference"/>
        </w:rPr>
        <w:footnoteRef/>
      </w:r>
      <w:r>
        <w:t xml:space="preserve"> J.L. Robertson, Remarks before the Independent Bankers Association, Los Angeles, California, October 22, 1956</w:t>
      </w:r>
    </w:p>
  </w:footnote>
  <w:footnote w:id="213">
    <w:p w14:paraId="0F95D466" w14:textId="77777777" w:rsidR="00CE71D3" w:rsidRPr="002818FC" w:rsidRDefault="00CE71D3" w:rsidP="00C42F90">
      <w:pPr>
        <w:pStyle w:val="FootnoteText"/>
      </w:pPr>
      <w:r w:rsidRPr="002818FC">
        <w:rPr>
          <w:rStyle w:val="FootnoteReference"/>
          <w:rFonts w:ascii="Garamond" w:hAnsi="Garamond"/>
        </w:rPr>
        <w:footnoteRef/>
      </w:r>
      <w:r w:rsidRPr="002818FC">
        <w:t xml:space="preserve"> Eisenhower signing statement, May 9, 1956. </w:t>
      </w:r>
    </w:p>
  </w:footnote>
  <w:footnote w:id="214">
    <w:p w14:paraId="5E8DE919" w14:textId="60BD71B5" w:rsidR="00CE71D3" w:rsidRPr="005D1FBF" w:rsidRDefault="00CE71D3">
      <w:pPr>
        <w:pStyle w:val="FootnoteText"/>
      </w:pPr>
      <w:r>
        <w:rPr>
          <w:rStyle w:val="FootnoteReference"/>
        </w:rPr>
        <w:footnoteRef/>
      </w:r>
      <w:r>
        <w:t xml:space="preserve"> </w:t>
      </w:r>
      <w:r>
        <w:rPr>
          <w:i/>
        </w:rPr>
        <w:t>Id</w:t>
      </w:r>
      <w:r>
        <w:t>.</w:t>
      </w:r>
    </w:p>
  </w:footnote>
  <w:footnote w:id="215">
    <w:p w14:paraId="7B2263B7" w14:textId="68CE75E2" w:rsidR="00CE71D3" w:rsidRDefault="00CE71D3">
      <w:pPr>
        <w:pStyle w:val="FootnoteText"/>
      </w:pPr>
      <w:r>
        <w:rPr>
          <w:rStyle w:val="FootnoteReference"/>
        </w:rPr>
        <w:footnoteRef/>
      </w:r>
      <w:r>
        <w:t xml:space="preserve"> </w:t>
      </w:r>
      <w:r>
        <w:rPr>
          <w:i/>
        </w:rPr>
        <w:t xml:space="preserve">Id. </w:t>
      </w:r>
      <w:r>
        <w:t xml:space="preserve">See also Omarova and Tahyar, </w:t>
      </w:r>
      <w:r>
        <w:rPr>
          <w:i/>
        </w:rPr>
        <w:t xml:space="preserve">supra </w:t>
      </w:r>
      <w:r>
        <w:t xml:space="preserve">note XX. </w:t>
      </w:r>
    </w:p>
  </w:footnote>
  <w:footnote w:id="216">
    <w:p w14:paraId="02020FBF" w14:textId="41316CC2" w:rsidR="00CE71D3" w:rsidRPr="005D1FBF" w:rsidRDefault="00CE71D3" w:rsidP="00C42F90">
      <w:pPr>
        <w:pStyle w:val="FootnoteText"/>
      </w:pPr>
      <w:r w:rsidRPr="002818FC">
        <w:rPr>
          <w:rStyle w:val="FootnoteReference"/>
          <w:rFonts w:ascii="Garamond" w:hAnsi="Garamond"/>
        </w:rPr>
        <w:footnoteRef/>
      </w:r>
      <w:r w:rsidRPr="002818FC">
        <w:t xml:space="preserve"> Robertson</w:t>
      </w:r>
      <w:r>
        <w:t xml:space="preserve">, </w:t>
      </w:r>
      <w:r>
        <w:rPr>
          <w:i/>
        </w:rPr>
        <w:t xml:space="preserve">supra </w:t>
      </w:r>
      <w:r>
        <w:t xml:space="preserve">note XX. </w:t>
      </w:r>
    </w:p>
  </w:footnote>
  <w:footnote w:id="217">
    <w:p w14:paraId="67696AFD" w14:textId="1FAE0D9A" w:rsidR="00CE71D3" w:rsidRDefault="00CE71D3" w:rsidP="005D1FBF">
      <w:pPr>
        <w:pStyle w:val="FootnoteText"/>
      </w:pPr>
      <w:r>
        <w:rPr>
          <w:rStyle w:val="FootnoteReference"/>
        </w:rPr>
        <w:footnoteRef/>
      </w:r>
      <w:r>
        <w:t xml:space="preserve"> Dafna Avraham, Patricia Selvaggi, and James Vickery, “A Structural View of U.S. Bank Holding Companies,” FRBNY Economic Policy Review, July 2012.</w:t>
      </w:r>
    </w:p>
  </w:footnote>
  <w:footnote w:id="218">
    <w:p w14:paraId="7F3B46D9" w14:textId="73288EE5" w:rsidR="00CE71D3" w:rsidRPr="005D1FBF" w:rsidRDefault="00CE71D3">
      <w:pPr>
        <w:pStyle w:val="FootnoteText"/>
        <w:rPr>
          <w:i/>
        </w:rPr>
      </w:pPr>
      <w:r>
        <w:rPr>
          <w:rStyle w:val="FootnoteReference"/>
        </w:rPr>
        <w:footnoteRef/>
      </w:r>
      <w:r>
        <w:t xml:space="preserve"> “As Goldman and Morgan Shift, a Wall Street Era Ends,” </w:t>
      </w:r>
      <w:r>
        <w:rPr>
          <w:smallCaps/>
        </w:rPr>
        <w:t xml:space="preserve">New York Times, </w:t>
      </w:r>
      <w:r>
        <w:t>September 21, 2008</w:t>
      </w:r>
    </w:p>
  </w:footnote>
  <w:footnote w:id="219">
    <w:p w14:paraId="1F256A3C" w14:textId="6FD28848" w:rsidR="00CE71D3" w:rsidRPr="0003382B" w:rsidRDefault="00CE71D3">
      <w:pPr>
        <w:pStyle w:val="FootnoteText"/>
        <w:rPr>
          <w:smallCaps/>
        </w:rPr>
      </w:pPr>
      <w:r>
        <w:rPr>
          <w:rStyle w:val="FootnoteReference"/>
        </w:rPr>
        <w:footnoteRef/>
      </w:r>
      <w:r>
        <w:t xml:space="preserve"> See, e.g., Mark Roe and Stephen D. Adams, “Restructuring Failed Financial Firms in Bankruptcy: Selling Lehman’s Derivatives,” 32 </w:t>
      </w:r>
      <w:r>
        <w:rPr>
          <w:smallCaps/>
        </w:rPr>
        <w:t>Yale J. Reg. 363 (2015)</w:t>
      </w:r>
    </w:p>
  </w:footnote>
  <w:footnote w:id="220">
    <w:p w14:paraId="5447DA0A" w14:textId="77777777" w:rsidR="00CE71D3" w:rsidRPr="002818FC" w:rsidRDefault="00CE71D3" w:rsidP="00C42F90">
      <w:pPr>
        <w:pStyle w:val="FootnoteText"/>
      </w:pPr>
      <w:r w:rsidRPr="002818FC">
        <w:rPr>
          <w:rStyle w:val="FootnoteReference"/>
          <w:rFonts w:ascii="Garamond" w:hAnsi="Garamond"/>
        </w:rPr>
        <w:footnoteRef/>
      </w:r>
      <w:r w:rsidRPr="002818FC">
        <w:t xml:space="preserve"> Elizabeth Warren, “Unsafe at Any Rate,” </w:t>
      </w:r>
      <w:r w:rsidRPr="002818FC">
        <w:rPr>
          <w:i/>
        </w:rPr>
        <w:t xml:space="preserve">Democracy, </w:t>
      </w:r>
      <w:r w:rsidRPr="002818FC">
        <w:t xml:space="preserve">Summer 2007, no 5. </w:t>
      </w:r>
    </w:p>
  </w:footnote>
  <w:footnote w:id="221">
    <w:p w14:paraId="63848A32" w14:textId="2E85929D" w:rsidR="00CE71D3" w:rsidRPr="0003382B" w:rsidRDefault="00CE71D3" w:rsidP="00C42F90">
      <w:pPr>
        <w:pStyle w:val="FootnoteText"/>
        <w:rPr>
          <w:smallCaps/>
        </w:rPr>
      </w:pPr>
      <w:r w:rsidRPr="002818FC">
        <w:rPr>
          <w:rStyle w:val="FootnoteReference"/>
          <w:rFonts w:ascii="Garamond" w:hAnsi="Garamond"/>
        </w:rPr>
        <w:footnoteRef/>
      </w:r>
      <w:r w:rsidRPr="002818FC">
        <w:t xml:space="preserve"> </w:t>
      </w:r>
      <w:r>
        <w:t xml:space="preserve">Oren Bar-Gill &amp; Elizabeth Warren, “Making Credit Safer,” 157 </w:t>
      </w:r>
      <w:r>
        <w:rPr>
          <w:smallCaps/>
        </w:rPr>
        <w:t xml:space="preserve">Univ. Penn. L. Rev. 1 (2008). </w:t>
      </w:r>
    </w:p>
  </w:footnote>
  <w:footnote w:id="222">
    <w:p w14:paraId="6EB694D3" w14:textId="4CAB6092" w:rsidR="00CE71D3" w:rsidRPr="002818FC" w:rsidRDefault="00CE71D3" w:rsidP="00C42F90">
      <w:pPr>
        <w:pStyle w:val="FootnoteText"/>
      </w:pPr>
      <w:r w:rsidRPr="002818FC">
        <w:rPr>
          <w:rStyle w:val="FootnoteReference"/>
          <w:rFonts w:ascii="Garamond" w:hAnsi="Garamond"/>
        </w:rPr>
        <w:footnoteRef/>
      </w:r>
      <w:r w:rsidRPr="002818FC">
        <w:t xml:space="preserve"> </w:t>
      </w:r>
      <w:r w:rsidRPr="0003382B">
        <w:rPr>
          <w:smallCaps/>
        </w:rPr>
        <w:t>Elizabeth</w:t>
      </w:r>
      <w:r>
        <w:t xml:space="preserve"> </w:t>
      </w:r>
      <w:r w:rsidRPr="0003382B">
        <w:rPr>
          <w:smallCaps/>
        </w:rPr>
        <w:t>Warren, A Fighting Chance</w:t>
      </w:r>
      <w:r>
        <w:rPr>
          <w:smallCaps/>
        </w:rPr>
        <w:t xml:space="preserve"> </w:t>
      </w:r>
      <w:r>
        <w:t>l</w:t>
      </w:r>
      <w:r w:rsidRPr="0003382B">
        <w:t>oc 1493</w:t>
      </w:r>
      <w:r w:rsidRPr="0003382B">
        <w:rPr>
          <w:smallCaps/>
        </w:rPr>
        <w:t xml:space="preserve"> </w:t>
      </w:r>
      <w:r>
        <w:rPr>
          <w:smallCaps/>
        </w:rPr>
        <w:t xml:space="preserve">(2012) </w:t>
      </w:r>
    </w:p>
  </w:footnote>
  <w:footnote w:id="223">
    <w:p w14:paraId="6D785BBC" w14:textId="77777777" w:rsidR="00CE71D3" w:rsidRPr="002818FC" w:rsidRDefault="00CE71D3" w:rsidP="00C42F90">
      <w:pPr>
        <w:pStyle w:val="FootnoteText"/>
      </w:pPr>
      <w:r w:rsidRPr="002818FC">
        <w:rPr>
          <w:rStyle w:val="FootnoteReference"/>
          <w:rFonts w:ascii="Garamond" w:hAnsi="Garamond"/>
        </w:rPr>
        <w:footnoteRef/>
      </w:r>
      <w:r w:rsidRPr="002818FC">
        <w:t xml:space="preserve"> TK citation on this </w:t>
      </w:r>
    </w:p>
  </w:footnote>
  <w:footnote w:id="224">
    <w:p w14:paraId="3D642984" w14:textId="77777777" w:rsidR="00CE71D3" w:rsidRPr="002818FC" w:rsidRDefault="00CE71D3" w:rsidP="00C42F90">
      <w:pPr>
        <w:pStyle w:val="FootnoteText"/>
      </w:pPr>
      <w:r w:rsidRPr="002818FC">
        <w:rPr>
          <w:rStyle w:val="FootnoteReference"/>
          <w:rFonts w:ascii="Garamond" w:hAnsi="Garamond"/>
        </w:rPr>
        <w:footnoteRef/>
      </w:r>
      <w:r w:rsidRPr="002818FC">
        <w:t xml:space="preserve"> The Tonight Show, March 19, 2009. Transcript available at https://www.nytimes.com/2009/03/20/us/politics/20obama.text.html</w:t>
      </w:r>
    </w:p>
  </w:footnote>
  <w:footnote w:id="225">
    <w:p w14:paraId="46998E49" w14:textId="77777777" w:rsidR="00CE71D3" w:rsidRPr="002818FC" w:rsidRDefault="00CE71D3" w:rsidP="00C42F90">
      <w:pPr>
        <w:pStyle w:val="FootnoteText"/>
      </w:pPr>
      <w:r w:rsidRPr="002818FC">
        <w:rPr>
          <w:rStyle w:val="FootnoteReference"/>
          <w:rFonts w:ascii="Garamond" w:hAnsi="Garamond"/>
        </w:rPr>
        <w:footnoteRef/>
      </w:r>
      <w:r w:rsidRPr="002818FC">
        <w:t xml:space="preserve"> Deborah Solomon, “Wooing GOP, Geithner Gets and Earful,” Wall Street Journal, April 24, 2010. </w:t>
      </w:r>
    </w:p>
  </w:footnote>
  <w:footnote w:id="226">
    <w:p w14:paraId="0BF45E7D" w14:textId="77777777" w:rsidR="00CE71D3" w:rsidRPr="002818FC" w:rsidRDefault="00CE71D3" w:rsidP="00C42F90">
      <w:pPr>
        <w:pStyle w:val="FootnoteText"/>
      </w:pPr>
      <w:r w:rsidRPr="002818FC">
        <w:rPr>
          <w:rStyle w:val="FootnoteReference"/>
          <w:rFonts w:ascii="Garamond" w:hAnsi="Garamond"/>
        </w:rPr>
        <w:footnoteRef/>
      </w:r>
      <w:r w:rsidRPr="002818FC">
        <w:t xml:space="preserve"> H.R. 4173 § 4103</w:t>
      </w:r>
    </w:p>
  </w:footnote>
  <w:footnote w:id="227">
    <w:p w14:paraId="38D99E54" w14:textId="77777777" w:rsidR="00CE71D3" w:rsidRPr="002818FC" w:rsidRDefault="00CE71D3" w:rsidP="00C42F90">
      <w:pPr>
        <w:pStyle w:val="FootnoteText"/>
      </w:pPr>
      <w:r w:rsidRPr="002818FC">
        <w:rPr>
          <w:rStyle w:val="FootnoteReference"/>
          <w:rFonts w:ascii="Garamond" w:hAnsi="Garamond"/>
        </w:rPr>
        <w:footnoteRef/>
      </w:r>
      <w:r w:rsidRPr="002818FC">
        <w:t xml:space="preserve"> For a full account of the day-to-day debates around the CFPB and its creation, see Robert Kaiser, Act of Congress: How America’s Essential Institution Works, and How It Doesn’t, Vintage 2013.</w:t>
      </w:r>
    </w:p>
  </w:footnote>
  <w:footnote w:id="228">
    <w:p w14:paraId="0F9BC9D8" w14:textId="3A412BE0" w:rsidR="00CE71D3" w:rsidRPr="002818FC" w:rsidRDefault="00CE71D3" w:rsidP="00C42F90">
      <w:pPr>
        <w:pStyle w:val="FootnoteText"/>
      </w:pPr>
      <w:r w:rsidRPr="002818FC">
        <w:rPr>
          <w:rStyle w:val="FootnoteReference"/>
          <w:rFonts w:ascii="Garamond" w:hAnsi="Garamond"/>
        </w:rPr>
        <w:footnoteRef/>
      </w:r>
      <w:r w:rsidRPr="002818FC">
        <w:t xml:space="preserve"> </w:t>
      </w:r>
      <w:r>
        <w:t>See PHH Corporation v. Consumer Financial Protection Bureau, 839 F. 3d 1 (2016)</w:t>
      </w:r>
    </w:p>
  </w:footnote>
  <w:footnote w:id="229">
    <w:p w14:paraId="669B2853" w14:textId="77777777" w:rsidR="00CE71D3" w:rsidRPr="002818FC" w:rsidRDefault="00CE71D3" w:rsidP="00C42F90">
      <w:pPr>
        <w:pStyle w:val="FootnoteText"/>
      </w:pPr>
      <w:r w:rsidRPr="002818FC">
        <w:rPr>
          <w:rStyle w:val="FootnoteReference"/>
          <w:rFonts w:ascii="Garamond" w:hAnsi="Garamond"/>
        </w:rPr>
        <w:footnoteRef/>
      </w:r>
      <w:r w:rsidRPr="002818FC">
        <w:t xml:space="preserve"> Ben Bernanke, “The Public Policy Case for a Role for the Federal Reserve in Bank Supervision and Regulation,” Letter to Members of Congress, January 13, 2010, available at https://www.federalreserve.gov/BoardDocs/RptCongress/supervision/supervision_report.pdf</w:t>
      </w:r>
    </w:p>
  </w:footnote>
  <w:footnote w:id="230">
    <w:p w14:paraId="6966F595" w14:textId="436EDEA3" w:rsidR="00CE71D3" w:rsidRPr="002818FC" w:rsidRDefault="00CE71D3" w:rsidP="00C42F90">
      <w:pPr>
        <w:pStyle w:val="FootnoteText"/>
      </w:pPr>
      <w:r w:rsidRPr="002818FC">
        <w:rPr>
          <w:rStyle w:val="FootnoteReference"/>
          <w:rFonts w:ascii="Garamond" w:hAnsi="Garamond"/>
        </w:rPr>
        <w:footnoteRef/>
      </w:r>
      <w:r w:rsidRPr="002818FC">
        <w:t xml:space="preserve"> </w:t>
      </w:r>
      <w:r w:rsidRPr="0003382B">
        <w:rPr>
          <w:i/>
        </w:rPr>
        <w:t>Id</w:t>
      </w:r>
      <w:r w:rsidRPr="002818FC">
        <w:t>.</w:t>
      </w:r>
    </w:p>
  </w:footnote>
  <w:footnote w:id="231">
    <w:p w14:paraId="2DE83184" w14:textId="77777777" w:rsidR="00CE71D3" w:rsidRPr="002818FC" w:rsidRDefault="00CE71D3" w:rsidP="00C42F90">
      <w:pPr>
        <w:pStyle w:val="FootnoteText"/>
      </w:pPr>
      <w:r w:rsidRPr="002818FC">
        <w:rPr>
          <w:rStyle w:val="FootnoteReference"/>
          <w:rFonts w:ascii="Garamond" w:hAnsi="Garamond"/>
        </w:rPr>
        <w:footnoteRef/>
      </w:r>
      <w:r w:rsidRPr="002818FC">
        <w:t xml:space="preserve"> Memorandum by Marc Jarsulic, Matthew Green, and Amy Friend, “Response to Bernanke letter on need for Fed bank supervision,” January 16, 2010, on file with authors. </w:t>
      </w:r>
    </w:p>
  </w:footnote>
  <w:footnote w:id="232">
    <w:p w14:paraId="3FC06D5E" w14:textId="77777777" w:rsidR="00CE71D3" w:rsidRPr="002818FC" w:rsidRDefault="00CE71D3" w:rsidP="00C42F90">
      <w:pPr>
        <w:pStyle w:val="FootnoteText"/>
      </w:pPr>
      <w:r w:rsidRPr="002818FC">
        <w:rPr>
          <w:rStyle w:val="FootnoteReference"/>
          <w:rFonts w:ascii="Garamond" w:hAnsi="Garamond"/>
        </w:rPr>
        <w:footnoteRef/>
      </w:r>
      <w:r w:rsidRPr="002818FC">
        <w:t xml:space="preserve"> Oral History of Amy Friend, February 7, 2018, on file with the authors.</w:t>
      </w:r>
    </w:p>
  </w:footnote>
  <w:footnote w:id="233">
    <w:p w14:paraId="543095E0" w14:textId="77777777" w:rsidR="00CE71D3" w:rsidRPr="002818FC" w:rsidRDefault="00CE71D3" w:rsidP="00C42F90">
      <w:pPr>
        <w:pStyle w:val="FootnoteText"/>
      </w:pPr>
      <w:r w:rsidRPr="002818FC">
        <w:rPr>
          <w:rStyle w:val="FootnoteReference"/>
          <w:rFonts w:ascii="Garamond" w:hAnsi="Garamond"/>
        </w:rPr>
        <w:footnoteRef/>
      </w:r>
      <w:r w:rsidRPr="002818FC">
        <w:t xml:space="preserve"> Sewell Chan, “Fed’s Reach May Be Curbed Under Plan,” </w:t>
      </w:r>
      <w:r w:rsidRPr="002818FC">
        <w:rPr>
          <w:i/>
        </w:rPr>
        <w:t>New York Times</w:t>
      </w:r>
      <w:r w:rsidRPr="002818FC">
        <w:t xml:space="preserve">, March 9, 2010. </w:t>
      </w:r>
    </w:p>
  </w:footnote>
  <w:footnote w:id="234">
    <w:p w14:paraId="66F28D56" w14:textId="77777777" w:rsidR="00CE71D3" w:rsidRPr="002818FC" w:rsidRDefault="00CE71D3" w:rsidP="00C42F90">
      <w:pPr>
        <w:pStyle w:val="FootnoteText"/>
      </w:pPr>
      <w:r w:rsidRPr="002818FC">
        <w:rPr>
          <w:rStyle w:val="FootnoteReference"/>
          <w:rFonts w:ascii="Garamond" w:hAnsi="Garamond"/>
        </w:rPr>
        <w:footnoteRef/>
      </w:r>
      <w:r w:rsidRPr="002818FC">
        <w:t xml:space="preserve"> Sewell Chan, “Fed Fights to Keep Oversight of Banks That Aren’t Big,” </w:t>
      </w:r>
      <w:r w:rsidRPr="002818FC">
        <w:rPr>
          <w:i/>
        </w:rPr>
        <w:t>New York Times</w:t>
      </w:r>
      <w:r w:rsidRPr="002818FC">
        <w:t>, March 18, 2010</w:t>
      </w:r>
    </w:p>
  </w:footnote>
  <w:footnote w:id="235">
    <w:p w14:paraId="022509B7" w14:textId="77777777" w:rsidR="00CE71D3" w:rsidRPr="002818FC" w:rsidRDefault="00CE71D3" w:rsidP="00C42F90">
      <w:pPr>
        <w:pStyle w:val="FootnoteText"/>
      </w:pPr>
      <w:r w:rsidRPr="002818FC">
        <w:rPr>
          <w:rStyle w:val="FootnoteReference"/>
          <w:rFonts w:ascii="Garamond" w:hAnsi="Garamond"/>
        </w:rPr>
        <w:footnoteRef/>
      </w:r>
      <w:r w:rsidRPr="002818FC">
        <w:t xml:space="preserve"> Scott Lanman and Craig Torres, “Fed’s ‘Main Street’ Message Protected Its Authority,” Bloomberg News, May 21, 2010.</w:t>
      </w:r>
    </w:p>
  </w:footnote>
  <w:footnote w:id="236">
    <w:p w14:paraId="61F2736A" w14:textId="77777777" w:rsidR="00CE71D3" w:rsidRPr="002818FC" w:rsidRDefault="00CE71D3" w:rsidP="00C42F90">
      <w:pPr>
        <w:pStyle w:val="FootnoteText"/>
      </w:pPr>
      <w:r w:rsidRPr="002818FC">
        <w:rPr>
          <w:rStyle w:val="FootnoteReference"/>
          <w:rFonts w:ascii="Garamond" w:hAnsi="Garamond"/>
        </w:rPr>
        <w:footnoteRef/>
      </w:r>
      <w:r w:rsidRPr="002818FC">
        <w:t xml:space="preserve"> Oral History of Thomas Hoenig, on file with the authors. </w:t>
      </w:r>
    </w:p>
  </w:footnote>
  <w:footnote w:id="237">
    <w:p w14:paraId="2D42A3B8" w14:textId="77777777" w:rsidR="00CE71D3" w:rsidRPr="002818FC" w:rsidRDefault="00CE71D3" w:rsidP="00C42F90">
      <w:pPr>
        <w:pStyle w:val="FootnoteText"/>
      </w:pPr>
      <w:r w:rsidRPr="002818FC">
        <w:rPr>
          <w:rStyle w:val="FootnoteReference"/>
          <w:rFonts w:ascii="Garamond" w:hAnsi="Garamond"/>
        </w:rPr>
        <w:footnoteRef/>
      </w:r>
      <w:r w:rsidRPr="002818FC">
        <w:t xml:space="preserve"> The FDIC itself uses a five-step definition that links asset size, number of branches, geography served, type of charter, and much else. See FDIC Community Banking Study, December 2012. </w:t>
      </w:r>
    </w:p>
  </w:footnote>
  <w:footnote w:id="238">
    <w:p w14:paraId="708F9E23" w14:textId="77777777" w:rsidR="00CE71D3" w:rsidRPr="002818FC" w:rsidRDefault="00CE71D3" w:rsidP="00C42F90">
      <w:pPr>
        <w:pStyle w:val="FootnoteText"/>
      </w:pPr>
      <w:r w:rsidRPr="002818FC">
        <w:rPr>
          <w:rStyle w:val="FootnoteReference"/>
          <w:rFonts w:ascii="Garamond" w:hAnsi="Garamond"/>
        </w:rPr>
        <w:footnoteRef/>
      </w:r>
      <w:r w:rsidRPr="002818FC">
        <w:t xml:space="preserve"> David Enrich and Damian Paletta, “Small Banks, Big Beefs,” Wall Street Journal, March 21, 2009. </w:t>
      </w:r>
    </w:p>
  </w:footnote>
  <w:footnote w:id="239">
    <w:p w14:paraId="50B28BD1" w14:textId="18B584E5" w:rsidR="00CE71D3" w:rsidRPr="002818FC" w:rsidRDefault="00CE71D3" w:rsidP="00C42F90">
      <w:pPr>
        <w:pStyle w:val="FootnoteText"/>
      </w:pPr>
      <w:r w:rsidRPr="002818FC">
        <w:rPr>
          <w:rStyle w:val="FootnoteReference"/>
          <w:rFonts w:ascii="Garamond" w:hAnsi="Garamond"/>
        </w:rPr>
        <w:footnoteRef/>
      </w:r>
      <w:r w:rsidRPr="002818FC">
        <w:t xml:space="preserve"> </w:t>
      </w:r>
      <w:r w:rsidRPr="0003382B">
        <w:rPr>
          <w:smallCaps/>
        </w:rPr>
        <w:t>Sheila</w:t>
      </w:r>
      <w:r>
        <w:t xml:space="preserve"> </w:t>
      </w:r>
      <w:r w:rsidRPr="0003382B">
        <w:rPr>
          <w:smallCaps/>
        </w:rPr>
        <w:t xml:space="preserve">Bair, Bull by the </w:t>
      </w:r>
      <w:r>
        <w:rPr>
          <w:smallCaps/>
        </w:rPr>
        <w:t>H</w:t>
      </w:r>
      <w:r w:rsidRPr="0003382B">
        <w:rPr>
          <w:smallCaps/>
        </w:rPr>
        <w:t>orns</w:t>
      </w:r>
      <w:r>
        <w:rPr>
          <w:smallCaps/>
        </w:rPr>
        <w:t xml:space="preserve">: Fighting to Save Main Street from Wall Street from Itself </w:t>
      </w:r>
      <w:r w:rsidRPr="002818FC">
        <w:t>167</w:t>
      </w:r>
      <w:r>
        <w:t xml:space="preserve"> (2012)</w:t>
      </w:r>
      <w:r w:rsidRPr="002818FC">
        <w:t xml:space="preserve">. </w:t>
      </w:r>
    </w:p>
  </w:footnote>
  <w:footnote w:id="240">
    <w:p w14:paraId="6CAAA85D" w14:textId="5DA9304C" w:rsidR="00CE71D3" w:rsidRPr="002818FC" w:rsidRDefault="00CE71D3" w:rsidP="00C42F90">
      <w:pPr>
        <w:pStyle w:val="FootnoteText"/>
      </w:pPr>
      <w:r w:rsidRPr="002818FC">
        <w:rPr>
          <w:rStyle w:val="FootnoteReference"/>
          <w:rFonts w:ascii="Garamond" w:hAnsi="Garamond"/>
        </w:rPr>
        <w:footnoteRef/>
      </w:r>
      <w:r w:rsidRPr="002818FC">
        <w:t xml:space="preserve"> </w:t>
      </w:r>
      <w:r>
        <w:rPr>
          <w:i/>
        </w:rPr>
        <w:t>Id</w:t>
      </w:r>
      <w:r w:rsidRPr="002818FC">
        <w:t>.</w:t>
      </w:r>
    </w:p>
  </w:footnote>
  <w:footnote w:id="241">
    <w:p w14:paraId="6A09F703" w14:textId="77777777" w:rsidR="00CE71D3" w:rsidRPr="002818FC" w:rsidRDefault="00CE71D3" w:rsidP="00C42F90">
      <w:pPr>
        <w:pStyle w:val="FootnoteText"/>
      </w:pPr>
      <w:r w:rsidRPr="002818FC">
        <w:rPr>
          <w:rStyle w:val="FootnoteReference"/>
          <w:rFonts w:ascii="Garamond" w:hAnsi="Garamond"/>
        </w:rPr>
        <w:footnoteRef/>
      </w:r>
      <w:r w:rsidRPr="002818FC">
        <w:t xml:space="preserve"> Ben S. Bernanke, “Lessons of the Financial Crisis for Banking Supervision,” Speech at the Federal Reserve Bank of Chicago Conference on Bank Structure and Competition, Chicago, Illinois, May 7, 2009. </w:t>
      </w:r>
    </w:p>
  </w:footnote>
  <w:footnote w:id="242">
    <w:p w14:paraId="1B56186A" w14:textId="07025D30" w:rsidR="00CE71D3" w:rsidRPr="002818FC" w:rsidRDefault="00CE71D3" w:rsidP="00C42F90">
      <w:pPr>
        <w:pStyle w:val="FootnoteText"/>
      </w:pPr>
      <w:r w:rsidRPr="002818FC">
        <w:rPr>
          <w:rStyle w:val="FootnoteReference"/>
          <w:rFonts w:ascii="Garamond" w:hAnsi="Garamond"/>
        </w:rPr>
        <w:footnoteRef/>
      </w:r>
      <w:r w:rsidRPr="002818FC">
        <w:t xml:space="preserve"> </w:t>
      </w:r>
      <w:r w:rsidRPr="00C351AB">
        <w:rPr>
          <w:smallCaps/>
        </w:rPr>
        <w:t>Bair</w:t>
      </w:r>
      <w:r w:rsidRPr="002818FC">
        <w:t>,</w:t>
      </w:r>
      <w:r>
        <w:rPr>
          <w:i/>
        </w:rPr>
        <w:t xml:space="preserve"> supra </w:t>
      </w:r>
      <w:r>
        <w:t>note XX at</w:t>
      </w:r>
      <w:r w:rsidRPr="002818FC">
        <w:t xml:space="preserve"> 185. </w:t>
      </w:r>
    </w:p>
  </w:footnote>
  <w:footnote w:id="243">
    <w:p w14:paraId="50F36AAE" w14:textId="7F5EEEED" w:rsidR="00CE71D3" w:rsidRPr="002818FC" w:rsidRDefault="00CE71D3" w:rsidP="00C42F90">
      <w:pPr>
        <w:pStyle w:val="FootnoteText"/>
      </w:pPr>
      <w:r w:rsidRPr="002818FC">
        <w:rPr>
          <w:rStyle w:val="FootnoteReference"/>
          <w:rFonts w:ascii="Garamond" w:hAnsi="Garamond"/>
        </w:rPr>
        <w:footnoteRef/>
      </w:r>
      <w:r w:rsidRPr="002818FC">
        <w:t xml:space="preserve"> </w:t>
      </w:r>
      <w:r>
        <w:t xml:space="preserve">Id. </w:t>
      </w:r>
      <w:r w:rsidRPr="002818FC">
        <w:t>at 186.</w:t>
      </w:r>
    </w:p>
  </w:footnote>
  <w:footnote w:id="244">
    <w:p w14:paraId="25507CB0" w14:textId="4DE841CF" w:rsidR="00CE71D3" w:rsidRPr="002818FC" w:rsidRDefault="00CE71D3" w:rsidP="00C42F90">
      <w:pPr>
        <w:pStyle w:val="FootnoteText"/>
      </w:pPr>
      <w:r w:rsidRPr="002818FC">
        <w:rPr>
          <w:rStyle w:val="FootnoteReference"/>
          <w:rFonts w:ascii="Garamond" w:hAnsi="Garamond"/>
        </w:rPr>
        <w:footnoteRef/>
      </w:r>
      <w:r w:rsidRPr="002818FC">
        <w:t xml:space="preserve"> </w:t>
      </w:r>
      <w:r>
        <w:rPr>
          <w:smallCaps/>
        </w:rPr>
        <w:t>Timothy Geithner, Stress Tests: Reflections on Financial Crises (2014)</w:t>
      </w:r>
      <w:r w:rsidRPr="002818FC">
        <w:t xml:space="preserve"> </w:t>
      </w:r>
    </w:p>
  </w:footnote>
  <w:footnote w:id="245">
    <w:p w14:paraId="1BCC3FDC" w14:textId="49A65849" w:rsidR="00CE71D3" w:rsidRPr="002818FC" w:rsidRDefault="00CE71D3" w:rsidP="00C42F90">
      <w:pPr>
        <w:pStyle w:val="FootnoteText"/>
      </w:pPr>
      <w:r w:rsidRPr="002818FC">
        <w:rPr>
          <w:rStyle w:val="FootnoteReference"/>
          <w:rFonts w:ascii="Garamond" w:hAnsi="Garamond"/>
        </w:rPr>
        <w:footnoteRef/>
      </w:r>
      <w:r w:rsidRPr="002818FC">
        <w:t xml:space="preserve"> </w:t>
      </w:r>
      <w:r>
        <w:t xml:space="preserve">As quoted in David Stout, “Senators Skeptical of Financial Regulation Plan,” New York Times, June 18, 2009. </w:t>
      </w:r>
    </w:p>
  </w:footnote>
  <w:footnote w:id="246">
    <w:p w14:paraId="14B864FD" w14:textId="6BD52CDF" w:rsidR="00CE71D3" w:rsidRPr="003951B4" w:rsidRDefault="00CE71D3">
      <w:pPr>
        <w:pStyle w:val="FootnoteText"/>
        <w:rPr>
          <w:smallCaps/>
        </w:rPr>
      </w:pPr>
      <w:r>
        <w:rPr>
          <w:rStyle w:val="FootnoteReference"/>
        </w:rPr>
        <w:footnoteRef/>
      </w:r>
      <w:r>
        <w:t xml:space="preserve"> </w:t>
      </w:r>
      <w:r w:rsidR="003951B4">
        <w:t xml:space="preserve">As quoted in </w:t>
      </w:r>
      <w:r w:rsidR="003951B4">
        <w:rPr>
          <w:smallCaps/>
        </w:rPr>
        <w:t>Noam Schreiber, The Escape Artists: How Obama’s Team Fumbled the Recovery 178 (2012)</w:t>
      </w:r>
    </w:p>
  </w:footnote>
  <w:footnote w:id="247">
    <w:p w14:paraId="05BA9F2F" w14:textId="23F241EC" w:rsidR="00CE71D3" w:rsidRPr="002818FC" w:rsidRDefault="00CE71D3" w:rsidP="00C42F90">
      <w:pPr>
        <w:pStyle w:val="FootnoteText"/>
      </w:pPr>
      <w:r w:rsidRPr="002818FC">
        <w:rPr>
          <w:rStyle w:val="FootnoteReference"/>
          <w:rFonts w:ascii="Garamond" w:hAnsi="Garamond"/>
        </w:rPr>
        <w:footnoteRef/>
      </w:r>
      <w:r w:rsidRPr="002818FC">
        <w:t xml:space="preserve"> </w:t>
      </w:r>
      <w:r w:rsidR="003951B4">
        <w:t xml:space="preserve">As quoted in Damian Paletta and Deborah Solomon, “Geithner Vents at Regulators as Overhaul Stumbles,” Wall Street Journal, August 4, 2009. </w:t>
      </w:r>
    </w:p>
  </w:footnote>
  <w:footnote w:id="248">
    <w:p w14:paraId="637993C1" w14:textId="77777777" w:rsidR="00CE71D3" w:rsidRPr="002818FC" w:rsidRDefault="00CE71D3" w:rsidP="00C42F90">
      <w:pPr>
        <w:pStyle w:val="FootnoteText"/>
      </w:pPr>
      <w:r w:rsidRPr="002818FC">
        <w:rPr>
          <w:rStyle w:val="FootnoteReference"/>
          <w:rFonts w:ascii="Garamond" w:hAnsi="Garamond"/>
        </w:rPr>
        <w:footnoteRef/>
      </w:r>
      <w:r w:rsidRPr="002818FC">
        <w:t xml:space="preserve"> Damian Paletta, “USA Inc: Agencies in a Brawl for Control Over Banks,” Wall Street Journal, December 18, 2009</w:t>
      </w:r>
    </w:p>
  </w:footnote>
  <w:footnote w:id="249">
    <w:p w14:paraId="4A265078" w14:textId="77777777" w:rsidR="00CE71D3" w:rsidRPr="002818FC" w:rsidRDefault="00CE71D3" w:rsidP="00C42F90">
      <w:pPr>
        <w:pStyle w:val="FootnoteText"/>
      </w:pPr>
      <w:r w:rsidRPr="002818FC">
        <w:rPr>
          <w:rStyle w:val="FootnoteReference"/>
          <w:rFonts w:ascii="Garamond" w:hAnsi="Garamond"/>
        </w:rPr>
        <w:footnoteRef/>
      </w:r>
      <w:r w:rsidRPr="002818FC">
        <w:t xml:space="preserve"> Sheila Bair, Remarks by FDIC Chairman Sheila Bair to The Economic Club of New York, April 27, 2009. </w:t>
      </w:r>
    </w:p>
  </w:footnote>
  <w:footnote w:id="250">
    <w:p w14:paraId="3AE9E103" w14:textId="36D9CA28" w:rsidR="00CE71D3" w:rsidRPr="002818FC" w:rsidRDefault="00CE71D3" w:rsidP="00C42F90">
      <w:pPr>
        <w:pStyle w:val="FootnoteText"/>
      </w:pPr>
      <w:r w:rsidRPr="002818FC">
        <w:rPr>
          <w:rStyle w:val="FootnoteReference"/>
          <w:rFonts w:ascii="Garamond" w:hAnsi="Garamond"/>
        </w:rPr>
        <w:footnoteRef/>
      </w:r>
      <w:r w:rsidRPr="002818FC">
        <w:t xml:space="preserve"> </w:t>
      </w:r>
      <w:r w:rsidR="003951B4">
        <w:rPr>
          <w:i/>
        </w:rPr>
        <w:t>Id</w:t>
      </w:r>
      <w:r w:rsidRPr="002818FC">
        <w:t>.</w:t>
      </w:r>
    </w:p>
  </w:footnote>
  <w:footnote w:id="251">
    <w:p w14:paraId="396A0CA1" w14:textId="654930E2" w:rsidR="00CE71D3" w:rsidRPr="002818FC" w:rsidRDefault="00CE71D3" w:rsidP="00C42F90">
      <w:pPr>
        <w:pStyle w:val="FootnoteText"/>
      </w:pPr>
      <w:r w:rsidRPr="002818FC">
        <w:rPr>
          <w:rStyle w:val="FootnoteReference"/>
          <w:rFonts w:ascii="Garamond" w:hAnsi="Garamond"/>
        </w:rPr>
        <w:footnoteRef/>
      </w:r>
      <w:r w:rsidRPr="002818FC">
        <w:t xml:space="preserve"> </w:t>
      </w:r>
      <w:r w:rsidRPr="003951B4">
        <w:rPr>
          <w:smallCaps/>
        </w:rPr>
        <w:t>Geithner</w:t>
      </w:r>
      <w:r w:rsidR="003951B4">
        <w:rPr>
          <w:smallCaps/>
        </w:rPr>
        <w:t xml:space="preserve">, </w:t>
      </w:r>
      <w:r w:rsidR="003951B4">
        <w:rPr>
          <w:i/>
        </w:rPr>
        <w:t xml:space="preserve">supra </w:t>
      </w:r>
      <w:r w:rsidR="003951B4">
        <w:t>note XX</w:t>
      </w:r>
    </w:p>
  </w:footnote>
  <w:footnote w:id="252">
    <w:p w14:paraId="34733C7A" w14:textId="77777777" w:rsidR="00CE71D3" w:rsidRPr="002818FC" w:rsidRDefault="00CE71D3" w:rsidP="00C42F90">
      <w:pPr>
        <w:pStyle w:val="FootnoteText"/>
      </w:pPr>
      <w:r w:rsidRPr="002818FC">
        <w:rPr>
          <w:rStyle w:val="FootnoteReference"/>
          <w:rFonts w:ascii="Garamond" w:hAnsi="Garamond"/>
        </w:rPr>
        <w:footnoteRef/>
      </w:r>
      <w:r w:rsidRPr="002818FC">
        <w:t xml:space="preserve"> Roll Call Vote 111</w:t>
      </w:r>
      <w:r w:rsidRPr="002818FC">
        <w:rPr>
          <w:vertAlign w:val="superscript"/>
        </w:rPr>
        <w:t>th</w:t>
      </w:r>
      <w:r w:rsidRPr="002818FC">
        <w:t xml:space="preserve"> Congress, 2</w:t>
      </w:r>
      <w:r w:rsidRPr="002818FC">
        <w:rPr>
          <w:vertAlign w:val="superscript"/>
        </w:rPr>
        <w:t>nd</w:t>
      </w:r>
      <w:r w:rsidRPr="002818FC">
        <w:t xml:space="preserve"> Session, available at https://www.senate.gov/legislative/LIS/roll_call_lists/roll_call_vote_cfm.cfm?congress=111&amp;session=2&amp;vote=00131</w:t>
      </w:r>
    </w:p>
  </w:footnote>
  <w:footnote w:id="253">
    <w:p w14:paraId="5794B04C" w14:textId="1ED45DDB" w:rsidR="00CE71D3" w:rsidRPr="006C7EE2" w:rsidRDefault="00CE71D3">
      <w:pPr>
        <w:pStyle w:val="FootnoteText"/>
        <w:rPr>
          <w:smallCaps/>
        </w:rPr>
      </w:pPr>
      <w:r>
        <w:rPr>
          <w:rStyle w:val="FootnoteReference"/>
        </w:rPr>
        <w:footnoteRef/>
      </w:r>
      <w:r>
        <w:t xml:space="preserve"> Eric A. Posner and Adrian Vermeule, “Inside or Outside the System?” 80 </w:t>
      </w:r>
      <w:r>
        <w:rPr>
          <w:smallCaps/>
        </w:rPr>
        <w:t>Univ. of Chicago L. Rev. 1744 (2013)</w:t>
      </w:r>
    </w:p>
  </w:footnote>
  <w:footnote w:id="254">
    <w:p w14:paraId="31C0ED08" w14:textId="4C1E5A81" w:rsidR="00CE71D3" w:rsidRPr="00B90B54" w:rsidRDefault="00CE71D3">
      <w:pPr>
        <w:pStyle w:val="FootnoteText"/>
      </w:pPr>
      <w:r>
        <w:rPr>
          <w:rStyle w:val="FootnoteReference"/>
        </w:rPr>
        <w:footnoteRef/>
      </w:r>
      <w:r>
        <w:t xml:space="preserve"> </w:t>
      </w:r>
      <w:r>
        <w:rPr>
          <w:i/>
        </w:rPr>
        <w:t>Id</w:t>
      </w:r>
      <w:r>
        <w:t>. at 1745</w:t>
      </w:r>
    </w:p>
  </w:footnote>
  <w:footnote w:id="255">
    <w:p w14:paraId="1AC8C009" w14:textId="42476AC9" w:rsidR="00CE71D3" w:rsidRDefault="00CE71D3">
      <w:pPr>
        <w:pStyle w:val="FootnoteText"/>
      </w:pPr>
      <w:r>
        <w:rPr>
          <w:rStyle w:val="FootnoteReference"/>
        </w:rPr>
        <w:footnoteRef/>
      </w:r>
      <w:r>
        <w:t xml:space="preserve"> Terry M. Moe, “</w:t>
      </w:r>
      <w:r w:rsidRPr="00041C10">
        <w:t>The Politics of Bureaucratic Structure,</w:t>
      </w:r>
      <w:r>
        <w:t>”</w:t>
      </w:r>
      <w:r w:rsidRPr="00041C10">
        <w:t xml:space="preserve"> in </w:t>
      </w:r>
      <w:r w:rsidRPr="00041C10">
        <w:rPr>
          <w:smallCaps/>
        </w:rPr>
        <w:t>Can the Government Govern</w:t>
      </w:r>
      <w:r w:rsidRPr="00041C10">
        <w:t>? 267, 268 (John E. Chubb &amp; Paul E. Peterson eds., 1989)</w:t>
      </w:r>
    </w:p>
  </w:footnote>
  <w:footnote w:id="256">
    <w:p w14:paraId="76B94E08" w14:textId="4351AA43" w:rsidR="00CE71D3" w:rsidRPr="00805028" w:rsidRDefault="00CE71D3">
      <w:pPr>
        <w:pStyle w:val="FootnoteText"/>
      </w:pPr>
      <w:r>
        <w:rPr>
          <w:rStyle w:val="FootnoteReference"/>
        </w:rPr>
        <w:footnoteRef/>
      </w:r>
      <w:r>
        <w:t xml:space="preserve"> </w:t>
      </w:r>
      <w:r>
        <w:rPr>
          <w:smallCaps/>
        </w:rPr>
        <w:t>Conti-Brown</w:t>
      </w:r>
      <w:r>
        <w:t xml:space="preserve">, </w:t>
      </w:r>
      <w:r>
        <w:rPr>
          <w:i/>
        </w:rPr>
        <w:t xml:space="preserve">supra </w:t>
      </w:r>
      <w:r>
        <w:t xml:space="preserve">note XX, Chapter 11.  </w:t>
      </w:r>
    </w:p>
  </w:footnote>
  <w:footnote w:id="257">
    <w:p w14:paraId="0D5734DA" w14:textId="43734CA7" w:rsidR="00CE71D3" w:rsidRPr="003951B4" w:rsidRDefault="00CE71D3">
      <w:pPr>
        <w:pStyle w:val="FootnoteText"/>
      </w:pPr>
      <w:r>
        <w:rPr>
          <w:rStyle w:val="FootnoteReference"/>
        </w:rPr>
        <w:footnoteRef/>
      </w:r>
      <w:r>
        <w:t xml:space="preserve"> </w:t>
      </w:r>
      <w:r w:rsidR="003951B4">
        <w:t xml:space="preserve">For two excellent pieces on the problematic directions of the Financial Stability Oversight Council in the Trump Administration, see Jeremy Kress, “The Last SIFI: The Unwise and Illegal Deregulation of Prudential Financial,” 71 </w:t>
      </w:r>
      <w:r w:rsidR="003951B4">
        <w:rPr>
          <w:smallCaps/>
        </w:rPr>
        <w:t xml:space="preserve">Stan. L. Rev. Online 171 (2018) </w:t>
      </w:r>
      <w:r w:rsidR="003951B4">
        <w:t xml:space="preserve">and Jeremy C. Kress, Patricia A. McCoy, and Daniel Schwarcz, “Regulating Entities and Activities: Complementary Approaches to Nonbank Systemic Risk,” </w:t>
      </w:r>
      <w:r w:rsidR="003951B4">
        <w:rPr>
          <w:smallCaps/>
        </w:rPr>
        <w:t>Southern California Law Review</w:t>
      </w:r>
      <w:r w:rsidR="003951B4">
        <w:t xml:space="preserve">, forthcoming.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EBCF0" w14:textId="21EFFB27" w:rsidR="00CE71D3" w:rsidRPr="00972061" w:rsidRDefault="00CE71D3" w:rsidP="008A277D">
    <w:pPr>
      <w:pStyle w:val="Header"/>
      <w:rPr>
        <w:rFonts w:ascii="Equity Text A" w:hAnsi="Equity Text A"/>
        <w:spacing w:val="20"/>
      </w:rPr>
    </w:pPr>
    <w:r w:rsidRPr="00972061">
      <w:rPr>
        <w:rFonts w:ascii="Equity Text A" w:hAnsi="Equity Text A"/>
        <w:spacing w:val="20"/>
      </w:rPr>
      <w:fldChar w:fldCharType="begin"/>
    </w:r>
    <w:r w:rsidRPr="00972061">
      <w:rPr>
        <w:rFonts w:ascii="Equity Text A" w:hAnsi="Equity Text A"/>
        <w:spacing w:val="20"/>
      </w:rPr>
      <w:instrText xml:space="preserve"> PAGE   \* MERGEFORMAT </w:instrText>
    </w:r>
    <w:r w:rsidRPr="00972061">
      <w:rPr>
        <w:rFonts w:ascii="Equity Text A" w:hAnsi="Equity Text A"/>
        <w:spacing w:val="20"/>
      </w:rPr>
      <w:fldChar w:fldCharType="separate"/>
    </w:r>
    <w:r>
      <w:rPr>
        <w:rFonts w:ascii="Equity Text A" w:hAnsi="Equity Text A"/>
        <w:noProof/>
        <w:spacing w:val="20"/>
      </w:rPr>
      <w:t>58</w:t>
    </w:r>
    <w:r w:rsidRPr="00972061">
      <w:rPr>
        <w:rFonts w:ascii="Equity Text A" w:hAnsi="Equity Text A"/>
        <w:noProof/>
        <w:spacing w:val="20"/>
      </w:rPr>
      <w:fldChar w:fldCharType="end"/>
    </w:r>
    <w:r w:rsidRPr="00972061">
      <w:rPr>
        <w:rFonts w:ascii="Equity Text A" w:hAnsi="Equity Text A"/>
        <w:spacing w:val="20"/>
      </w:rPr>
      <w:tab/>
    </w:r>
    <w:r>
      <w:rPr>
        <w:rFonts w:ascii="Equity Text A" w:hAnsi="Equity Text A"/>
        <w:spacing w:val="20"/>
      </w:rPr>
      <w:t>Conti-Brown, Ohlrogge, &amp; Vanatta</w:t>
    </w:r>
    <w:r w:rsidRPr="00972061">
      <w:rPr>
        <w:rFonts w:ascii="Equity Text A" w:hAnsi="Equity Text A"/>
        <w:spacing w:val="20"/>
      </w:rPr>
      <w:tab/>
    </w:r>
  </w:p>
  <w:p w14:paraId="7AC2FD67" w14:textId="77777777" w:rsidR="00CE71D3" w:rsidRPr="004604CD" w:rsidRDefault="00CE71D3" w:rsidP="008A27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AF483" w14:textId="6404EA23" w:rsidR="00CE71D3" w:rsidRPr="00972061" w:rsidRDefault="00CE71D3" w:rsidP="008A277D">
    <w:pPr>
      <w:pStyle w:val="Header"/>
      <w:rPr>
        <w:rFonts w:ascii="Equity Text A" w:hAnsi="Equity Text A"/>
        <w:spacing w:val="20"/>
      </w:rPr>
    </w:pPr>
    <w:r>
      <w:rPr>
        <w:rFonts w:ascii="Equity Text A" w:hAnsi="Equity Text A"/>
        <w:spacing w:val="20"/>
      </w:rPr>
      <w:fldChar w:fldCharType="begin"/>
    </w:r>
    <w:r>
      <w:rPr>
        <w:rFonts w:ascii="Equity Text A" w:hAnsi="Equity Text A"/>
        <w:spacing w:val="20"/>
      </w:rPr>
      <w:instrText xml:space="preserve"> DATE \@ "MMM-yy" </w:instrText>
    </w:r>
    <w:r>
      <w:rPr>
        <w:rFonts w:ascii="Equity Text A" w:hAnsi="Equity Text A"/>
        <w:spacing w:val="20"/>
      </w:rPr>
      <w:fldChar w:fldCharType="separate"/>
    </w:r>
    <w:r>
      <w:rPr>
        <w:rFonts w:ascii="Equity Text A" w:hAnsi="Equity Text A"/>
        <w:noProof/>
        <w:spacing w:val="20"/>
      </w:rPr>
      <w:t>Feb-19</w:t>
    </w:r>
    <w:r>
      <w:rPr>
        <w:rFonts w:ascii="Equity Text A" w:hAnsi="Equity Text A"/>
        <w:spacing w:val="20"/>
      </w:rPr>
      <w:fldChar w:fldCharType="end"/>
    </w:r>
    <w:r w:rsidRPr="00972061">
      <w:rPr>
        <w:rFonts w:ascii="Equity Text A" w:hAnsi="Equity Text A"/>
        <w:spacing w:val="20"/>
      </w:rPr>
      <w:t>]</w:t>
    </w:r>
    <w:r w:rsidRPr="00972061">
      <w:rPr>
        <w:rFonts w:ascii="Equity Text A" w:hAnsi="Equity Text A"/>
        <w:spacing w:val="20"/>
      </w:rPr>
      <w:tab/>
    </w:r>
    <w:r>
      <w:rPr>
        <w:rFonts w:ascii="Equity Text A" w:hAnsi="Equity Text A"/>
        <w:spacing w:val="20"/>
      </w:rPr>
      <w:t>Punctuated Coalitions</w:t>
    </w:r>
    <w:r w:rsidRPr="00972061">
      <w:rPr>
        <w:rFonts w:ascii="Equity Text A" w:hAnsi="Equity Text A"/>
        <w:spacing w:val="20"/>
      </w:rPr>
      <w:tab/>
    </w:r>
    <w:r w:rsidRPr="00972061">
      <w:rPr>
        <w:rFonts w:ascii="Equity Text A" w:hAnsi="Equity Text A"/>
        <w:spacing w:val="20"/>
      </w:rPr>
      <w:fldChar w:fldCharType="begin"/>
    </w:r>
    <w:r w:rsidRPr="00972061">
      <w:rPr>
        <w:rFonts w:ascii="Equity Text A" w:hAnsi="Equity Text A"/>
        <w:spacing w:val="20"/>
      </w:rPr>
      <w:instrText xml:space="preserve"> PAGE   \* MERGEFORMAT </w:instrText>
    </w:r>
    <w:r w:rsidRPr="00972061">
      <w:rPr>
        <w:rFonts w:ascii="Equity Text A" w:hAnsi="Equity Text A"/>
        <w:spacing w:val="20"/>
      </w:rPr>
      <w:fldChar w:fldCharType="separate"/>
    </w:r>
    <w:r>
      <w:rPr>
        <w:rFonts w:ascii="Equity Text A" w:hAnsi="Equity Text A"/>
        <w:noProof/>
        <w:spacing w:val="20"/>
      </w:rPr>
      <w:t>61</w:t>
    </w:r>
    <w:r w:rsidRPr="00972061">
      <w:rPr>
        <w:rFonts w:ascii="Equity Text A" w:hAnsi="Equity Text A"/>
        <w:noProof/>
        <w:spacing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6C8F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92382"/>
    <w:multiLevelType w:val="hybridMultilevel"/>
    <w:tmpl w:val="C21669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34588A"/>
    <w:multiLevelType w:val="hybridMultilevel"/>
    <w:tmpl w:val="B810B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E5C08"/>
    <w:multiLevelType w:val="multilevel"/>
    <w:tmpl w:val="312AA470"/>
    <w:lvl w:ilvl="0">
      <w:start w:val="1"/>
      <w:numFmt w:val="upperRoman"/>
      <w:lvlText w:val="%1."/>
      <w:lvlJc w:val="left"/>
      <w:pPr>
        <w:ind w:left="0" w:firstLine="288"/>
      </w:pPr>
      <w:rPr>
        <w:rFonts w:hint="default"/>
        <w:b/>
        <w:bCs/>
        <w:i w:val="0"/>
        <w:iCs w:val="0"/>
        <w:smallCaps/>
        <w:sz w:val="18"/>
        <w:szCs w:val="18"/>
      </w:rPr>
    </w:lvl>
    <w:lvl w:ilvl="1">
      <w:start w:val="1"/>
      <w:numFmt w:val="upperLetter"/>
      <w:lvlText w:val="%2."/>
      <w:lvlJc w:val="left"/>
      <w:pPr>
        <w:tabs>
          <w:tab w:val="num" w:pos="720"/>
        </w:tabs>
        <w:ind w:left="720" w:hanging="36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0B5E34E0"/>
    <w:multiLevelType w:val="hybridMultilevel"/>
    <w:tmpl w:val="75C6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9272EA"/>
    <w:multiLevelType w:val="hybridMultilevel"/>
    <w:tmpl w:val="0BEE1526"/>
    <w:lvl w:ilvl="0" w:tplc="F126D522">
      <w:numFmt w:val="bullet"/>
      <w:lvlText w:val="-"/>
      <w:lvlJc w:val="left"/>
      <w:pPr>
        <w:ind w:left="1080" w:hanging="360"/>
      </w:pPr>
      <w:rPr>
        <w:rFonts w:ascii="Times New Roman" w:eastAsia="Arial"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AA64BA"/>
    <w:multiLevelType w:val="hybridMultilevel"/>
    <w:tmpl w:val="1F7C5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4560F"/>
    <w:multiLevelType w:val="hybridMultilevel"/>
    <w:tmpl w:val="9F483C2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1E0C732D"/>
    <w:multiLevelType w:val="multilevel"/>
    <w:tmpl w:val="DAA6B596"/>
    <w:lvl w:ilvl="0">
      <w:start w:val="1"/>
      <w:numFmt w:val="upperRoman"/>
      <w:lvlText w:val="%1."/>
      <w:lvlJc w:val="left"/>
      <w:pPr>
        <w:tabs>
          <w:tab w:val="num" w:pos="0"/>
        </w:tabs>
        <w:ind w:left="0" w:firstLine="0"/>
      </w:pPr>
      <w:rPr>
        <w:rFonts w:hint="default"/>
        <w:b/>
        <w:bCs/>
        <w:i w:val="0"/>
        <w:iCs w:val="0"/>
        <w:smallCaps/>
        <w:sz w:val="18"/>
        <w:szCs w:val="18"/>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ind w:left="1440" w:hanging="360"/>
      </w:pPr>
      <w:rPr>
        <w:rFonts w:hint="default"/>
        <w:b w:val="0"/>
        <w:bCs w:val="0"/>
        <w:i/>
        <w:iCs/>
      </w:rPr>
    </w:lvl>
    <w:lvl w:ilvl="4">
      <w:start w:val="1"/>
      <w:numFmt w:val="lowerRoman"/>
      <w:lvlText w:val="%5."/>
      <w:lvlJc w:val="left"/>
      <w:pPr>
        <w:tabs>
          <w:tab w:val="num" w:pos="1800"/>
        </w:tabs>
        <w:ind w:left="1800" w:hanging="360"/>
      </w:pPr>
      <w:rPr>
        <w:rFonts w:hint="default"/>
        <w:b w:val="0"/>
        <w:bCs w:val="0"/>
        <w:i/>
        <w:iCs/>
      </w:rPr>
    </w:lvl>
    <w:lvl w:ilvl="5">
      <w:start w:val="1"/>
      <w:numFmt w:val="upperRoman"/>
      <w:lvlText w:val="(%6)."/>
      <w:lvlJc w:val="left"/>
      <w:pPr>
        <w:tabs>
          <w:tab w:val="num" w:pos="2160"/>
        </w:tabs>
        <w:ind w:left="2160" w:hanging="360"/>
      </w:pPr>
      <w:rPr>
        <w:rFonts w:hint="default"/>
        <w:b w:val="0"/>
        <w:bCs w:val="0"/>
        <w:i/>
        <w:iCs/>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9" w15:restartNumberingAfterBreak="0">
    <w:nsid w:val="1F43109A"/>
    <w:multiLevelType w:val="multilevel"/>
    <w:tmpl w:val="A84AD2DC"/>
    <w:lvl w:ilvl="0">
      <w:start w:val="1"/>
      <w:numFmt w:val="upperRoman"/>
      <w:lvlText w:val="%1."/>
      <w:lvlJc w:val="right"/>
      <w:pPr>
        <w:ind w:left="720" w:hanging="360"/>
      </w:pPr>
      <w:rPr>
        <w:rFonts w:hint="default"/>
        <w:b/>
        <w:i w:val="0"/>
        <w:smallCaps/>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0D799D"/>
    <w:multiLevelType w:val="hybridMultilevel"/>
    <w:tmpl w:val="FD4A8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41227"/>
    <w:multiLevelType w:val="hybridMultilevel"/>
    <w:tmpl w:val="D17CFF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E1740D"/>
    <w:multiLevelType w:val="hybridMultilevel"/>
    <w:tmpl w:val="DA0C9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DC0DF5"/>
    <w:multiLevelType w:val="hybridMultilevel"/>
    <w:tmpl w:val="61789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66D94"/>
    <w:multiLevelType w:val="hybridMultilevel"/>
    <w:tmpl w:val="E6BE9564"/>
    <w:lvl w:ilvl="0" w:tplc="4786355E">
      <w:start w:val="1"/>
      <w:numFmt w:val="upperLetter"/>
      <w:lvlText w:val="%1."/>
      <w:lvlJc w:val="left"/>
      <w:pPr>
        <w:ind w:left="1656" w:hanging="360"/>
      </w:pPr>
      <w:rPr>
        <w:rFonts w:hint="default"/>
      </w:r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5" w15:restartNumberingAfterBreak="0">
    <w:nsid w:val="2D5C6B97"/>
    <w:multiLevelType w:val="multilevel"/>
    <w:tmpl w:val="AA563CDE"/>
    <w:lvl w:ilvl="0">
      <w:start w:val="1"/>
      <w:numFmt w:val="lowerRoman"/>
      <w:lvlText w:val="%1."/>
      <w:lvlJc w:val="right"/>
      <w:pPr>
        <w:ind w:left="720" w:hanging="360"/>
      </w:pPr>
      <w:rPr>
        <w:smallCap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AF041C"/>
    <w:multiLevelType w:val="hybridMultilevel"/>
    <w:tmpl w:val="757EDE7A"/>
    <w:lvl w:ilvl="0" w:tplc="2E0E3E4C">
      <w:start w:val="1"/>
      <w:numFmt w:val="decimal"/>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7" w15:restartNumberingAfterBreak="0">
    <w:nsid w:val="316D4CBF"/>
    <w:multiLevelType w:val="hybridMultilevel"/>
    <w:tmpl w:val="51640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48502A"/>
    <w:multiLevelType w:val="hybridMultilevel"/>
    <w:tmpl w:val="03A42B6A"/>
    <w:lvl w:ilvl="0" w:tplc="0409000F">
      <w:start w:val="1"/>
      <w:numFmt w:val="decimal"/>
      <w:lvlText w:val="%1."/>
      <w:lvlJc w:val="left"/>
      <w:pPr>
        <w:ind w:left="72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62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3B169A"/>
    <w:multiLevelType w:val="hybridMultilevel"/>
    <w:tmpl w:val="A7BC5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B234592"/>
    <w:multiLevelType w:val="hybridMultilevel"/>
    <w:tmpl w:val="25489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196B77"/>
    <w:multiLevelType w:val="hybridMultilevel"/>
    <w:tmpl w:val="879CF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6D69BA"/>
    <w:multiLevelType w:val="hybridMultilevel"/>
    <w:tmpl w:val="3C38BDB2"/>
    <w:lvl w:ilvl="0" w:tplc="EB76940C">
      <w:start w:val="3"/>
      <w:numFmt w:val="bullet"/>
      <w:lvlText w:val="-"/>
      <w:lvlJc w:val="left"/>
      <w:pPr>
        <w:ind w:left="1080" w:hanging="360"/>
      </w:pPr>
      <w:rPr>
        <w:rFonts w:ascii="ITC Galliard Pro" w:eastAsia="MS Mincho" w:hAnsi="ITC Galliard Pro"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04C3DF1"/>
    <w:multiLevelType w:val="hybridMultilevel"/>
    <w:tmpl w:val="7A4EA31E"/>
    <w:lvl w:ilvl="0" w:tplc="9ACE797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7C5A5F"/>
    <w:multiLevelType w:val="hybridMultilevel"/>
    <w:tmpl w:val="D70EF18C"/>
    <w:lvl w:ilvl="0" w:tplc="37286352">
      <w:start w:val="4"/>
      <w:numFmt w:val="bullet"/>
      <w:lvlText w:val="-"/>
      <w:lvlJc w:val="left"/>
      <w:pPr>
        <w:ind w:left="720" w:hanging="360"/>
      </w:pPr>
      <w:rPr>
        <w:rFonts w:ascii="Garamond" w:eastAsia="MS Mincho"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266C3"/>
    <w:multiLevelType w:val="hybridMultilevel"/>
    <w:tmpl w:val="0046D602"/>
    <w:lvl w:ilvl="0" w:tplc="697A0916">
      <w:start w:val="1"/>
      <w:numFmt w:val="lowerRoman"/>
      <w:lvlText w:val="(%1)"/>
      <w:lvlJc w:val="left"/>
      <w:pPr>
        <w:ind w:left="2016" w:hanging="72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6" w15:restartNumberingAfterBreak="0">
    <w:nsid w:val="603C3476"/>
    <w:multiLevelType w:val="multilevel"/>
    <w:tmpl w:val="EBE2F0CA"/>
    <w:lvl w:ilvl="0">
      <w:start w:val="1"/>
      <w:numFmt w:val="upperRoman"/>
      <w:lvlText w:val="%1."/>
      <w:lvlJc w:val="left"/>
      <w:pPr>
        <w:ind w:left="-720" w:firstLine="288"/>
      </w:pPr>
      <w:rPr>
        <w:rFonts w:hint="default"/>
        <w:b/>
        <w:bCs/>
        <w:i w:val="0"/>
        <w:iCs w:val="0"/>
        <w:smallCaps/>
        <w:sz w:val="18"/>
        <w:szCs w:val="18"/>
      </w:rPr>
    </w:lvl>
    <w:lvl w:ilvl="1">
      <w:start w:val="1"/>
      <w:numFmt w:val="upperLetter"/>
      <w:lvlText w:val="%2."/>
      <w:lvlJc w:val="left"/>
      <w:pPr>
        <w:tabs>
          <w:tab w:val="num" w:pos="0"/>
        </w:tabs>
        <w:ind w:left="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ind w:left="1440" w:firstLine="0"/>
      </w:pPr>
      <w:rPr>
        <w:rFonts w:hint="default"/>
      </w:rPr>
    </w:lvl>
    <w:lvl w:ilvl="4">
      <w:start w:val="1"/>
      <w:numFmt w:val="decimal"/>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27" w15:restartNumberingAfterBreak="0">
    <w:nsid w:val="62E231BB"/>
    <w:multiLevelType w:val="hybridMultilevel"/>
    <w:tmpl w:val="52CCDB1E"/>
    <w:lvl w:ilvl="0" w:tplc="D7DCA04E">
      <w:start w:val="1"/>
      <w:numFmt w:val="bullet"/>
      <w:lvlText w:val="-"/>
      <w:lvlJc w:val="left"/>
      <w:pPr>
        <w:ind w:left="1080" w:hanging="360"/>
      </w:pPr>
      <w:rPr>
        <w:rFonts w:ascii="Times New Roman" w:eastAsia="Arial"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3DD5932"/>
    <w:multiLevelType w:val="multilevel"/>
    <w:tmpl w:val="B2F4D0E4"/>
    <w:lvl w:ilvl="0">
      <w:start w:val="1"/>
      <w:numFmt w:val="upperRoman"/>
      <w:pStyle w:val="Heading1"/>
      <w:lvlText w:val="%1."/>
      <w:lvlJc w:val="left"/>
      <w:pPr>
        <w:tabs>
          <w:tab w:val="num" w:pos="0"/>
        </w:tabs>
        <w:ind w:left="0" w:firstLine="0"/>
      </w:pPr>
      <w:rPr>
        <w:rFonts w:hint="default"/>
        <w:b/>
        <w:bCs/>
        <w:i w:val="0"/>
        <w:iCs w:val="0"/>
        <w:smallCaps/>
        <w:sz w:val="18"/>
        <w:szCs w:val="18"/>
      </w:rPr>
    </w:lvl>
    <w:lvl w:ilvl="1">
      <w:start w:val="1"/>
      <w:numFmt w:val="upperLetter"/>
      <w:pStyle w:val="Heading2"/>
      <w:lvlText w:val="%2."/>
      <w:lvlJc w:val="left"/>
      <w:pPr>
        <w:tabs>
          <w:tab w:val="num" w:pos="450"/>
        </w:tabs>
        <w:ind w:left="450" w:hanging="360"/>
      </w:pPr>
      <w:rPr>
        <w:rFonts w:hint="default"/>
      </w:rPr>
    </w:lvl>
    <w:lvl w:ilvl="2">
      <w:start w:val="1"/>
      <w:numFmt w:val="decimal"/>
      <w:pStyle w:val="Heading3"/>
      <w:lvlText w:val="%3."/>
      <w:lvlJc w:val="left"/>
      <w:pPr>
        <w:tabs>
          <w:tab w:val="num" w:pos="1080"/>
        </w:tabs>
        <w:ind w:left="1080" w:hanging="360"/>
      </w:pPr>
      <w:rPr>
        <w:rFonts w:hint="default"/>
      </w:rPr>
    </w:lvl>
    <w:lvl w:ilvl="3">
      <w:start w:val="1"/>
      <w:numFmt w:val="lowerLetter"/>
      <w:pStyle w:val="Heading4"/>
      <w:lvlText w:val="%4."/>
      <w:lvlJc w:val="left"/>
      <w:pPr>
        <w:ind w:left="1440" w:hanging="360"/>
      </w:pPr>
      <w:rPr>
        <w:rFonts w:hint="default"/>
        <w:b w:val="0"/>
        <w:bCs w:val="0"/>
        <w:i/>
        <w:iCs/>
      </w:rPr>
    </w:lvl>
    <w:lvl w:ilvl="4">
      <w:start w:val="1"/>
      <w:numFmt w:val="lowerRoman"/>
      <w:pStyle w:val="Heading5"/>
      <w:lvlText w:val="%5."/>
      <w:lvlJc w:val="left"/>
      <w:pPr>
        <w:tabs>
          <w:tab w:val="num" w:pos="1800"/>
        </w:tabs>
        <w:ind w:left="1800" w:hanging="360"/>
      </w:pPr>
      <w:rPr>
        <w:rFonts w:hint="default"/>
        <w:b w:val="0"/>
        <w:bCs w:val="0"/>
        <w:i/>
        <w:iCs/>
      </w:rPr>
    </w:lvl>
    <w:lvl w:ilvl="5">
      <w:start w:val="1"/>
      <w:numFmt w:val="upperRoman"/>
      <w:pStyle w:val="Heading6"/>
      <w:lvlText w:val="(%6)"/>
      <w:lvlJc w:val="left"/>
      <w:pPr>
        <w:tabs>
          <w:tab w:val="num" w:pos="2160"/>
        </w:tabs>
        <w:ind w:left="2160" w:hanging="360"/>
      </w:pPr>
      <w:rPr>
        <w:rFonts w:hint="default"/>
        <w:b w:val="0"/>
        <w:bCs w:val="0"/>
        <w:i/>
        <w:iCs/>
      </w:rPr>
    </w:lvl>
    <w:lvl w:ilvl="6">
      <w:start w:val="1"/>
      <w:numFmt w:val="lowerRoman"/>
      <w:pStyle w:val="Heading7"/>
      <w:lvlText w:val="(%7)"/>
      <w:lvlJc w:val="left"/>
      <w:pPr>
        <w:ind w:left="3600" w:firstLine="0"/>
      </w:pPr>
      <w:rPr>
        <w:rFonts w:hint="default"/>
      </w:rPr>
    </w:lvl>
    <w:lvl w:ilvl="7">
      <w:start w:val="1"/>
      <w:numFmt w:val="lowerLetter"/>
      <w:pStyle w:val="Heading8"/>
      <w:lvlText w:val="(%8)"/>
      <w:lvlJc w:val="left"/>
      <w:pPr>
        <w:ind w:left="4320" w:firstLine="0"/>
      </w:pPr>
      <w:rPr>
        <w:rFonts w:hint="default"/>
      </w:rPr>
    </w:lvl>
    <w:lvl w:ilvl="8">
      <w:start w:val="1"/>
      <w:numFmt w:val="lowerRoman"/>
      <w:pStyle w:val="Heading9"/>
      <w:lvlText w:val="(%9)"/>
      <w:lvlJc w:val="left"/>
      <w:pPr>
        <w:ind w:left="5040" w:firstLine="0"/>
      </w:pPr>
      <w:rPr>
        <w:rFonts w:hint="default"/>
      </w:rPr>
    </w:lvl>
  </w:abstractNum>
  <w:abstractNum w:abstractNumId="29" w15:restartNumberingAfterBreak="0">
    <w:nsid w:val="658F5B12"/>
    <w:multiLevelType w:val="hybridMultilevel"/>
    <w:tmpl w:val="2AB26A6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0" w15:restartNumberingAfterBreak="0">
    <w:nsid w:val="6CDF6A64"/>
    <w:multiLevelType w:val="hybridMultilevel"/>
    <w:tmpl w:val="8CB46CB4"/>
    <w:lvl w:ilvl="0" w:tplc="130CF2C8">
      <w:start w:val="3"/>
      <w:numFmt w:val="bullet"/>
      <w:lvlText w:val="-"/>
      <w:lvlJc w:val="left"/>
      <w:pPr>
        <w:ind w:left="1080" w:hanging="360"/>
      </w:pPr>
      <w:rPr>
        <w:rFonts w:ascii="ITC Galliard Pro" w:eastAsia="MS Mincho" w:hAnsi="ITC Galliard Pr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EC125FA"/>
    <w:multiLevelType w:val="multilevel"/>
    <w:tmpl w:val="E47603AC"/>
    <w:lvl w:ilvl="0">
      <w:start w:val="1"/>
      <w:numFmt w:val="upperRoman"/>
      <w:lvlText w:val="%1."/>
      <w:lvlJc w:val="left"/>
      <w:pPr>
        <w:tabs>
          <w:tab w:val="num" w:pos="0"/>
        </w:tabs>
        <w:ind w:left="0" w:firstLine="0"/>
      </w:pPr>
      <w:rPr>
        <w:rFonts w:hint="default"/>
        <w:b/>
        <w:bCs/>
        <w:i w:val="0"/>
        <w:iCs w:val="0"/>
        <w:smallCaps/>
        <w:sz w:val="18"/>
        <w:szCs w:val="18"/>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ind w:left="1440" w:hanging="360"/>
      </w:pPr>
      <w:rPr>
        <w:rFonts w:hint="default"/>
        <w:b w:val="0"/>
        <w:bCs w:val="0"/>
        <w:i/>
        <w:iCs/>
      </w:rPr>
    </w:lvl>
    <w:lvl w:ilvl="4">
      <w:start w:val="1"/>
      <w:numFmt w:val="lowerRoman"/>
      <w:lvlText w:val="%5."/>
      <w:lvlJc w:val="left"/>
      <w:pPr>
        <w:tabs>
          <w:tab w:val="num" w:pos="1800"/>
        </w:tabs>
        <w:ind w:left="1800" w:hanging="360"/>
      </w:pPr>
      <w:rPr>
        <w:rFonts w:hint="default"/>
        <w:b w:val="0"/>
        <w:bCs w:val="0"/>
        <w:i/>
        <w:iCs/>
      </w:rPr>
    </w:lvl>
    <w:lvl w:ilvl="5">
      <w:start w:val="1"/>
      <w:numFmt w:val="upperRoman"/>
      <w:lvlText w:val="(%6)."/>
      <w:lvlJc w:val="left"/>
      <w:pPr>
        <w:tabs>
          <w:tab w:val="num" w:pos="2160"/>
        </w:tabs>
        <w:ind w:left="2160" w:hanging="360"/>
      </w:pPr>
      <w:rPr>
        <w:rFonts w:hint="default"/>
        <w:b w:val="0"/>
        <w:bCs w:val="0"/>
        <w:i/>
        <w:iCs/>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32" w15:restartNumberingAfterBreak="0">
    <w:nsid w:val="75842B66"/>
    <w:multiLevelType w:val="multilevel"/>
    <w:tmpl w:val="888E1670"/>
    <w:lvl w:ilvl="0">
      <w:start w:val="1"/>
      <w:numFmt w:val="upperRoman"/>
      <w:lvlText w:val="%1."/>
      <w:lvlJc w:val="left"/>
      <w:pPr>
        <w:ind w:left="0" w:firstLine="288"/>
      </w:pPr>
      <w:rPr>
        <w:rFonts w:hint="default"/>
        <w:b/>
        <w:bCs/>
        <w:i w:val="0"/>
        <w:iCs w:val="0"/>
        <w:smallCaps/>
        <w:sz w:val="18"/>
        <w:szCs w:val="18"/>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3" w15:restartNumberingAfterBreak="0">
    <w:nsid w:val="78180AD1"/>
    <w:multiLevelType w:val="hybridMultilevel"/>
    <w:tmpl w:val="4EAEDEC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96B450A"/>
    <w:multiLevelType w:val="hybridMultilevel"/>
    <w:tmpl w:val="DF4E3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5"/>
  </w:num>
  <w:num w:numId="3">
    <w:abstractNumId w:val="9"/>
  </w:num>
  <w:num w:numId="4">
    <w:abstractNumId w:val="32"/>
  </w:num>
  <w:num w:numId="5">
    <w:abstractNumId w:val="3"/>
  </w:num>
  <w:num w:numId="6">
    <w:abstractNumId w:val="26"/>
  </w:num>
  <w:num w:numId="7">
    <w:abstractNumId w:val="8"/>
  </w:num>
  <w:num w:numId="8">
    <w:abstractNumId w:val="31"/>
  </w:num>
  <w:num w:numId="9">
    <w:abstractNumId w:val="1"/>
  </w:num>
  <w:num w:numId="10">
    <w:abstractNumId w:val="12"/>
  </w:num>
  <w:num w:numId="11">
    <w:abstractNumId w:val="0"/>
  </w:num>
  <w:num w:numId="12">
    <w:abstractNumId w:val="18"/>
  </w:num>
  <w:num w:numId="13">
    <w:abstractNumId w:val="25"/>
  </w:num>
  <w:num w:numId="14">
    <w:abstractNumId w:val="14"/>
  </w:num>
  <w:num w:numId="15">
    <w:abstractNumId w:val="16"/>
  </w:num>
  <w:num w:numId="16">
    <w:abstractNumId w:val="10"/>
  </w:num>
  <w:num w:numId="17">
    <w:abstractNumId w:val="11"/>
  </w:num>
  <w:num w:numId="18">
    <w:abstractNumId w:val="29"/>
  </w:num>
  <w:num w:numId="19">
    <w:abstractNumId w:val="7"/>
  </w:num>
  <w:num w:numId="20">
    <w:abstractNumId w:val="4"/>
  </w:num>
  <w:num w:numId="21">
    <w:abstractNumId w:val="33"/>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34"/>
  </w:num>
  <w:num w:numId="25">
    <w:abstractNumId w:val="21"/>
  </w:num>
  <w:num w:numId="26">
    <w:abstractNumId w:val="19"/>
  </w:num>
  <w:num w:numId="27">
    <w:abstractNumId w:val="2"/>
  </w:num>
  <w:num w:numId="28">
    <w:abstractNumId w:val="13"/>
  </w:num>
  <w:num w:numId="29">
    <w:abstractNumId w:val="6"/>
  </w:num>
  <w:num w:numId="30">
    <w:abstractNumId w:val="17"/>
  </w:num>
  <w:num w:numId="31">
    <w:abstractNumId w:val="20"/>
  </w:num>
  <w:num w:numId="32">
    <w:abstractNumId w:val="22"/>
  </w:num>
  <w:num w:numId="33">
    <w:abstractNumId w:val="30"/>
  </w:num>
  <w:num w:numId="34">
    <w:abstractNumId w:val="5"/>
  </w:num>
  <w:num w:numId="35">
    <w:abstractNumId w:val="23"/>
  </w:num>
  <w:num w:numId="36">
    <w:abstractNumId w:val="27"/>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ttachedTemplate r:id="rId1"/>
  <w:defaultTabStop w:val="720"/>
  <w:autoHyphenation/>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8DE"/>
    <w:rsid w:val="0000009C"/>
    <w:rsid w:val="00000530"/>
    <w:rsid w:val="00000E3E"/>
    <w:rsid w:val="00000F4C"/>
    <w:rsid w:val="000011D5"/>
    <w:rsid w:val="000025B3"/>
    <w:rsid w:val="00002A76"/>
    <w:rsid w:val="00002E83"/>
    <w:rsid w:val="00003145"/>
    <w:rsid w:val="000040C0"/>
    <w:rsid w:val="0000414D"/>
    <w:rsid w:val="000042C2"/>
    <w:rsid w:val="00004E48"/>
    <w:rsid w:val="00005BF4"/>
    <w:rsid w:val="00005E6C"/>
    <w:rsid w:val="00006239"/>
    <w:rsid w:val="00006CCF"/>
    <w:rsid w:val="000075A7"/>
    <w:rsid w:val="000076A1"/>
    <w:rsid w:val="00007928"/>
    <w:rsid w:val="00007D6D"/>
    <w:rsid w:val="00007FF4"/>
    <w:rsid w:val="000104B3"/>
    <w:rsid w:val="00010ACC"/>
    <w:rsid w:val="00010B65"/>
    <w:rsid w:val="000111A1"/>
    <w:rsid w:val="00011513"/>
    <w:rsid w:val="000116A1"/>
    <w:rsid w:val="0001181A"/>
    <w:rsid w:val="0001253D"/>
    <w:rsid w:val="0001255E"/>
    <w:rsid w:val="000128C1"/>
    <w:rsid w:val="00013E9D"/>
    <w:rsid w:val="00014129"/>
    <w:rsid w:val="00014A12"/>
    <w:rsid w:val="000156E7"/>
    <w:rsid w:val="000157C7"/>
    <w:rsid w:val="000160ED"/>
    <w:rsid w:val="000169E0"/>
    <w:rsid w:val="00016F0D"/>
    <w:rsid w:val="000174E3"/>
    <w:rsid w:val="000207EE"/>
    <w:rsid w:val="00021578"/>
    <w:rsid w:val="00022DB5"/>
    <w:rsid w:val="00022E21"/>
    <w:rsid w:val="000232EE"/>
    <w:rsid w:val="000248F4"/>
    <w:rsid w:val="0002510C"/>
    <w:rsid w:val="000252B9"/>
    <w:rsid w:val="00025689"/>
    <w:rsid w:val="00025690"/>
    <w:rsid w:val="00025FD7"/>
    <w:rsid w:val="000262BC"/>
    <w:rsid w:val="00026862"/>
    <w:rsid w:val="00026F6C"/>
    <w:rsid w:val="000271AC"/>
    <w:rsid w:val="000276EC"/>
    <w:rsid w:val="00027ECB"/>
    <w:rsid w:val="00031A4F"/>
    <w:rsid w:val="00031D61"/>
    <w:rsid w:val="000322E0"/>
    <w:rsid w:val="000335C1"/>
    <w:rsid w:val="00033699"/>
    <w:rsid w:val="0003382B"/>
    <w:rsid w:val="000345CA"/>
    <w:rsid w:val="00034B85"/>
    <w:rsid w:val="00034CEA"/>
    <w:rsid w:val="00035792"/>
    <w:rsid w:val="00035D6E"/>
    <w:rsid w:val="00035DA1"/>
    <w:rsid w:val="00035DA2"/>
    <w:rsid w:val="00035DC0"/>
    <w:rsid w:val="00035FE2"/>
    <w:rsid w:val="000362F9"/>
    <w:rsid w:val="000367E6"/>
    <w:rsid w:val="00036924"/>
    <w:rsid w:val="0003765D"/>
    <w:rsid w:val="00037FAC"/>
    <w:rsid w:val="00040D6E"/>
    <w:rsid w:val="00040D7D"/>
    <w:rsid w:val="00040F86"/>
    <w:rsid w:val="0004198D"/>
    <w:rsid w:val="00041A51"/>
    <w:rsid w:val="00041C10"/>
    <w:rsid w:val="00042169"/>
    <w:rsid w:val="00042821"/>
    <w:rsid w:val="0004320F"/>
    <w:rsid w:val="0004380D"/>
    <w:rsid w:val="0004440A"/>
    <w:rsid w:val="000445CF"/>
    <w:rsid w:val="00044E64"/>
    <w:rsid w:val="00044F9A"/>
    <w:rsid w:val="00045200"/>
    <w:rsid w:val="0004526D"/>
    <w:rsid w:val="00045970"/>
    <w:rsid w:val="00045F98"/>
    <w:rsid w:val="000466D0"/>
    <w:rsid w:val="0004709D"/>
    <w:rsid w:val="000473CE"/>
    <w:rsid w:val="00047623"/>
    <w:rsid w:val="00047653"/>
    <w:rsid w:val="00047C7F"/>
    <w:rsid w:val="000504F1"/>
    <w:rsid w:val="00050979"/>
    <w:rsid w:val="00051523"/>
    <w:rsid w:val="000520E5"/>
    <w:rsid w:val="0005367C"/>
    <w:rsid w:val="000536B1"/>
    <w:rsid w:val="00054628"/>
    <w:rsid w:val="00055544"/>
    <w:rsid w:val="00055A1B"/>
    <w:rsid w:val="00056563"/>
    <w:rsid w:val="00056778"/>
    <w:rsid w:val="00056AE0"/>
    <w:rsid w:val="00057072"/>
    <w:rsid w:val="00057CD4"/>
    <w:rsid w:val="0006003B"/>
    <w:rsid w:val="00060E43"/>
    <w:rsid w:val="00060E54"/>
    <w:rsid w:val="00061FE2"/>
    <w:rsid w:val="00062775"/>
    <w:rsid w:val="00062861"/>
    <w:rsid w:val="00062AB1"/>
    <w:rsid w:val="00062BD1"/>
    <w:rsid w:val="00063BB5"/>
    <w:rsid w:val="00063F13"/>
    <w:rsid w:val="000652DF"/>
    <w:rsid w:val="00065529"/>
    <w:rsid w:val="00065879"/>
    <w:rsid w:val="00066337"/>
    <w:rsid w:val="00066CAA"/>
    <w:rsid w:val="00066E37"/>
    <w:rsid w:val="00066FBA"/>
    <w:rsid w:val="00067F67"/>
    <w:rsid w:val="00070D5E"/>
    <w:rsid w:val="000716DC"/>
    <w:rsid w:val="00072902"/>
    <w:rsid w:val="000729D4"/>
    <w:rsid w:val="0007310F"/>
    <w:rsid w:val="00073396"/>
    <w:rsid w:val="00073656"/>
    <w:rsid w:val="0007389C"/>
    <w:rsid w:val="000739C7"/>
    <w:rsid w:val="00073E69"/>
    <w:rsid w:val="00074F73"/>
    <w:rsid w:val="00075349"/>
    <w:rsid w:val="00075A9B"/>
    <w:rsid w:val="000760AF"/>
    <w:rsid w:val="000760B4"/>
    <w:rsid w:val="00076385"/>
    <w:rsid w:val="000764E1"/>
    <w:rsid w:val="00076520"/>
    <w:rsid w:val="000765C2"/>
    <w:rsid w:val="000769BD"/>
    <w:rsid w:val="00076B29"/>
    <w:rsid w:val="000779FA"/>
    <w:rsid w:val="000809E6"/>
    <w:rsid w:val="00080DBE"/>
    <w:rsid w:val="0008151C"/>
    <w:rsid w:val="00081D3D"/>
    <w:rsid w:val="00081F4B"/>
    <w:rsid w:val="00081FDA"/>
    <w:rsid w:val="00082E0D"/>
    <w:rsid w:val="000832EF"/>
    <w:rsid w:val="000844B8"/>
    <w:rsid w:val="00084CF0"/>
    <w:rsid w:val="00085206"/>
    <w:rsid w:val="0008524C"/>
    <w:rsid w:val="00085599"/>
    <w:rsid w:val="00085A64"/>
    <w:rsid w:val="00085C16"/>
    <w:rsid w:val="00086648"/>
    <w:rsid w:val="00086AEC"/>
    <w:rsid w:val="00086B63"/>
    <w:rsid w:val="00086C38"/>
    <w:rsid w:val="00086F43"/>
    <w:rsid w:val="00087138"/>
    <w:rsid w:val="000871A3"/>
    <w:rsid w:val="00087543"/>
    <w:rsid w:val="00087A8A"/>
    <w:rsid w:val="000901E5"/>
    <w:rsid w:val="000903D9"/>
    <w:rsid w:val="00090577"/>
    <w:rsid w:val="00090585"/>
    <w:rsid w:val="00090AE3"/>
    <w:rsid w:val="0009280A"/>
    <w:rsid w:val="00093B39"/>
    <w:rsid w:val="000942EC"/>
    <w:rsid w:val="000944F5"/>
    <w:rsid w:val="00094690"/>
    <w:rsid w:val="00094F69"/>
    <w:rsid w:val="00095775"/>
    <w:rsid w:val="00095846"/>
    <w:rsid w:val="00095BA2"/>
    <w:rsid w:val="000960A6"/>
    <w:rsid w:val="00096EB7"/>
    <w:rsid w:val="00096FFC"/>
    <w:rsid w:val="0009744D"/>
    <w:rsid w:val="000A0F5F"/>
    <w:rsid w:val="000A128D"/>
    <w:rsid w:val="000A1FAE"/>
    <w:rsid w:val="000A2061"/>
    <w:rsid w:val="000A2449"/>
    <w:rsid w:val="000A28DA"/>
    <w:rsid w:val="000A2BC5"/>
    <w:rsid w:val="000A2FB3"/>
    <w:rsid w:val="000A4059"/>
    <w:rsid w:val="000A52A6"/>
    <w:rsid w:val="000A52EC"/>
    <w:rsid w:val="000A774E"/>
    <w:rsid w:val="000A7A78"/>
    <w:rsid w:val="000B016E"/>
    <w:rsid w:val="000B0DBA"/>
    <w:rsid w:val="000B103A"/>
    <w:rsid w:val="000B1DCF"/>
    <w:rsid w:val="000B436B"/>
    <w:rsid w:val="000B43A6"/>
    <w:rsid w:val="000B4480"/>
    <w:rsid w:val="000B595E"/>
    <w:rsid w:val="000B652B"/>
    <w:rsid w:val="000B6D3D"/>
    <w:rsid w:val="000B6DC7"/>
    <w:rsid w:val="000B7044"/>
    <w:rsid w:val="000B72EC"/>
    <w:rsid w:val="000C0138"/>
    <w:rsid w:val="000C0539"/>
    <w:rsid w:val="000C0845"/>
    <w:rsid w:val="000C0946"/>
    <w:rsid w:val="000C14D8"/>
    <w:rsid w:val="000C1FDC"/>
    <w:rsid w:val="000C26AE"/>
    <w:rsid w:val="000C2B55"/>
    <w:rsid w:val="000C2EE5"/>
    <w:rsid w:val="000C3340"/>
    <w:rsid w:val="000C33CB"/>
    <w:rsid w:val="000C3415"/>
    <w:rsid w:val="000C4164"/>
    <w:rsid w:val="000C5015"/>
    <w:rsid w:val="000C51E3"/>
    <w:rsid w:val="000C5CEA"/>
    <w:rsid w:val="000C6472"/>
    <w:rsid w:val="000D0560"/>
    <w:rsid w:val="000D269B"/>
    <w:rsid w:val="000D442A"/>
    <w:rsid w:val="000D4E15"/>
    <w:rsid w:val="000D50C3"/>
    <w:rsid w:val="000D6A08"/>
    <w:rsid w:val="000D6B32"/>
    <w:rsid w:val="000E0079"/>
    <w:rsid w:val="000E035F"/>
    <w:rsid w:val="000E1919"/>
    <w:rsid w:val="000E1B5F"/>
    <w:rsid w:val="000E4A08"/>
    <w:rsid w:val="000E4E84"/>
    <w:rsid w:val="000E513D"/>
    <w:rsid w:val="000E5C2D"/>
    <w:rsid w:val="000E5D8A"/>
    <w:rsid w:val="000E659B"/>
    <w:rsid w:val="000E6EB5"/>
    <w:rsid w:val="000F0660"/>
    <w:rsid w:val="000F168D"/>
    <w:rsid w:val="000F19CA"/>
    <w:rsid w:val="000F1CFD"/>
    <w:rsid w:val="000F1DDF"/>
    <w:rsid w:val="000F25B8"/>
    <w:rsid w:val="000F262F"/>
    <w:rsid w:val="000F2940"/>
    <w:rsid w:val="000F2B0D"/>
    <w:rsid w:val="000F3612"/>
    <w:rsid w:val="000F3B0D"/>
    <w:rsid w:val="000F3BEF"/>
    <w:rsid w:val="000F3E29"/>
    <w:rsid w:val="000F471B"/>
    <w:rsid w:val="000F546A"/>
    <w:rsid w:val="000F5560"/>
    <w:rsid w:val="000F63CA"/>
    <w:rsid w:val="000F65DB"/>
    <w:rsid w:val="000F768F"/>
    <w:rsid w:val="000F7719"/>
    <w:rsid w:val="0010100B"/>
    <w:rsid w:val="0010103F"/>
    <w:rsid w:val="00101116"/>
    <w:rsid w:val="001013F1"/>
    <w:rsid w:val="0010177C"/>
    <w:rsid w:val="00101B80"/>
    <w:rsid w:val="00101CC7"/>
    <w:rsid w:val="00103046"/>
    <w:rsid w:val="001030BF"/>
    <w:rsid w:val="001036D3"/>
    <w:rsid w:val="00103CA2"/>
    <w:rsid w:val="00103F5B"/>
    <w:rsid w:val="00104AD0"/>
    <w:rsid w:val="001064A8"/>
    <w:rsid w:val="001069C7"/>
    <w:rsid w:val="00106F37"/>
    <w:rsid w:val="00107DE5"/>
    <w:rsid w:val="00110081"/>
    <w:rsid w:val="00110CFF"/>
    <w:rsid w:val="00111099"/>
    <w:rsid w:val="0011205B"/>
    <w:rsid w:val="00112D64"/>
    <w:rsid w:val="00112E08"/>
    <w:rsid w:val="00113DEE"/>
    <w:rsid w:val="00113F94"/>
    <w:rsid w:val="00114BBC"/>
    <w:rsid w:val="0011547B"/>
    <w:rsid w:val="001156DF"/>
    <w:rsid w:val="00115FD4"/>
    <w:rsid w:val="00115FE9"/>
    <w:rsid w:val="00116E42"/>
    <w:rsid w:val="00117D01"/>
    <w:rsid w:val="00121483"/>
    <w:rsid w:val="0012149E"/>
    <w:rsid w:val="00121CD6"/>
    <w:rsid w:val="00122A99"/>
    <w:rsid w:val="001239BC"/>
    <w:rsid w:val="001246BD"/>
    <w:rsid w:val="001249D7"/>
    <w:rsid w:val="00124FBF"/>
    <w:rsid w:val="001257E5"/>
    <w:rsid w:val="00125AF4"/>
    <w:rsid w:val="0012613A"/>
    <w:rsid w:val="001266FD"/>
    <w:rsid w:val="0012691A"/>
    <w:rsid w:val="00127EE9"/>
    <w:rsid w:val="001302C0"/>
    <w:rsid w:val="00130CBF"/>
    <w:rsid w:val="00131876"/>
    <w:rsid w:val="00131ABC"/>
    <w:rsid w:val="00131CE9"/>
    <w:rsid w:val="001346F8"/>
    <w:rsid w:val="00135006"/>
    <w:rsid w:val="00135C87"/>
    <w:rsid w:val="00136CA9"/>
    <w:rsid w:val="00137D18"/>
    <w:rsid w:val="0014184E"/>
    <w:rsid w:val="00141CB9"/>
    <w:rsid w:val="0014262D"/>
    <w:rsid w:val="00142745"/>
    <w:rsid w:val="00144B3D"/>
    <w:rsid w:val="00145894"/>
    <w:rsid w:val="00145E10"/>
    <w:rsid w:val="001460CD"/>
    <w:rsid w:val="00146219"/>
    <w:rsid w:val="00146AA5"/>
    <w:rsid w:val="00146E1A"/>
    <w:rsid w:val="00147394"/>
    <w:rsid w:val="00147C54"/>
    <w:rsid w:val="0015180D"/>
    <w:rsid w:val="00152708"/>
    <w:rsid w:val="00152A65"/>
    <w:rsid w:val="001531A2"/>
    <w:rsid w:val="00153B9A"/>
    <w:rsid w:val="0015467D"/>
    <w:rsid w:val="00155722"/>
    <w:rsid w:val="00155D3F"/>
    <w:rsid w:val="00156F01"/>
    <w:rsid w:val="00160256"/>
    <w:rsid w:val="00160395"/>
    <w:rsid w:val="00160C0B"/>
    <w:rsid w:val="00160DF7"/>
    <w:rsid w:val="00161B33"/>
    <w:rsid w:val="001623BB"/>
    <w:rsid w:val="00162B7C"/>
    <w:rsid w:val="001634A2"/>
    <w:rsid w:val="0016374B"/>
    <w:rsid w:val="00163ABC"/>
    <w:rsid w:val="00163B79"/>
    <w:rsid w:val="0016436D"/>
    <w:rsid w:val="0016462C"/>
    <w:rsid w:val="00164AA6"/>
    <w:rsid w:val="00164D81"/>
    <w:rsid w:val="00164E7C"/>
    <w:rsid w:val="00164F8D"/>
    <w:rsid w:val="001653D9"/>
    <w:rsid w:val="00165601"/>
    <w:rsid w:val="00166874"/>
    <w:rsid w:val="00166C99"/>
    <w:rsid w:val="001675AD"/>
    <w:rsid w:val="001676D8"/>
    <w:rsid w:val="00167B72"/>
    <w:rsid w:val="00167E2E"/>
    <w:rsid w:val="00170336"/>
    <w:rsid w:val="001703E4"/>
    <w:rsid w:val="00170FE4"/>
    <w:rsid w:val="001714CD"/>
    <w:rsid w:val="001730A3"/>
    <w:rsid w:val="0017316A"/>
    <w:rsid w:val="00173410"/>
    <w:rsid w:val="00173AC8"/>
    <w:rsid w:val="00174086"/>
    <w:rsid w:val="001740A3"/>
    <w:rsid w:val="001754AF"/>
    <w:rsid w:val="00175527"/>
    <w:rsid w:val="0017682D"/>
    <w:rsid w:val="00177132"/>
    <w:rsid w:val="00177BEF"/>
    <w:rsid w:val="00177E92"/>
    <w:rsid w:val="0018080A"/>
    <w:rsid w:val="0018158D"/>
    <w:rsid w:val="00181DC7"/>
    <w:rsid w:val="001821E7"/>
    <w:rsid w:val="0018243F"/>
    <w:rsid w:val="00182B99"/>
    <w:rsid w:val="00182F58"/>
    <w:rsid w:val="0018320C"/>
    <w:rsid w:val="00183AB7"/>
    <w:rsid w:val="00183AD7"/>
    <w:rsid w:val="0018464D"/>
    <w:rsid w:val="00184734"/>
    <w:rsid w:val="00184814"/>
    <w:rsid w:val="00184B26"/>
    <w:rsid w:val="00184B32"/>
    <w:rsid w:val="00184C95"/>
    <w:rsid w:val="00184DCB"/>
    <w:rsid w:val="00184E18"/>
    <w:rsid w:val="001854AB"/>
    <w:rsid w:val="00185D9B"/>
    <w:rsid w:val="00185EAE"/>
    <w:rsid w:val="001869F0"/>
    <w:rsid w:val="00186B20"/>
    <w:rsid w:val="00187157"/>
    <w:rsid w:val="00190021"/>
    <w:rsid w:val="00190142"/>
    <w:rsid w:val="00191152"/>
    <w:rsid w:val="001911FE"/>
    <w:rsid w:val="00191D99"/>
    <w:rsid w:val="00192240"/>
    <w:rsid w:val="00192C27"/>
    <w:rsid w:val="00193416"/>
    <w:rsid w:val="00194200"/>
    <w:rsid w:val="0019421B"/>
    <w:rsid w:val="001942E2"/>
    <w:rsid w:val="001946AB"/>
    <w:rsid w:val="00196460"/>
    <w:rsid w:val="001979CC"/>
    <w:rsid w:val="001A0064"/>
    <w:rsid w:val="001A0110"/>
    <w:rsid w:val="001A0432"/>
    <w:rsid w:val="001A07A1"/>
    <w:rsid w:val="001A0838"/>
    <w:rsid w:val="001A1A2B"/>
    <w:rsid w:val="001A4762"/>
    <w:rsid w:val="001A47E8"/>
    <w:rsid w:val="001A4BA1"/>
    <w:rsid w:val="001A5E52"/>
    <w:rsid w:val="001A5EFD"/>
    <w:rsid w:val="001A6422"/>
    <w:rsid w:val="001A7389"/>
    <w:rsid w:val="001A73C9"/>
    <w:rsid w:val="001B00D0"/>
    <w:rsid w:val="001B16F2"/>
    <w:rsid w:val="001B17A9"/>
    <w:rsid w:val="001B24B7"/>
    <w:rsid w:val="001B2528"/>
    <w:rsid w:val="001B2659"/>
    <w:rsid w:val="001B26E0"/>
    <w:rsid w:val="001B2872"/>
    <w:rsid w:val="001B2E5E"/>
    <w:rsid w:val="001B36A1"/>
    <w:rsid w:val="001B3E13"/>
    <w:rsid w:val="001B4171"/>
    <w:rsid w:val="001B471D"/>
    <w:rsid w:val="001B4A5A"/>
    <w:rsid w:val="001B4B7D"/>
    <w:rsid w:val="001B4EE3"/>
    <w:rsid w:val="001B58B8"/>
    <w:rsid w:val="001B59FA"/>
    <w:rsid w:val="001B5A6B"/>
    <w:rsid w:val="001B5B04"/>
    <w:rsid w:val="001B69D2"/>
    <w:rsid w:val="001B7888"/>
    <w:rsid w:val="001B7C66"/>
    <w:rsid w:val="001B7E1A"/>
    <w:rsid w:val="001C14A1"/>
    <w:rsid w:val="001C1A2F"/>
    <w:rsid w:val="001C1A57"/>
    <w:rsid w:val="001C2729"/>
    <w:rsid w:val="001C3CD8"/>
    <w:rsid w:val="001C41B0"/>
    <w:rsid w:val="001C4419"/>
    <w:rsid w:val="001C5855"/>
    <w:rsid w:val="001C6B78"/>
    <w:rsid w:val="001C7140"/>
    <w:rsid w:val="001C78C1"/>
    <w:rsid w:val="001C78EF"/>
    <w:rsid w:val="001C7BD7"/>
    <w:rsid w:val="001C7FAC"/>
    <w:rsid w:val="001D04F9"/>
    <w:rsid w:val="001D092B"/>
    <w:rsid w:val="001D0ABF"/>
    <w:rsid w:val="001D198C"/>
    <w:rsid w:val="001D24E0"/>
    <w:rsid w:val="001D2CD1"/>
    <w:rsid w:val="001D2EED"/>
    <w:rsid w:val="001D2F6F"/>
    <w:rsid w:val="001D32F1"/>
    <w:rsid w:val="001D3F7C"/>
    <w:rsid w:val="001D4123"/>
    <w:rsid w:val="001D43EB"/>
    <w:rsid w:val="001D4700"/>
    <w:rsid w:val="001D4FBE"/>
    <w:rsid w:val="001D52CA"/>
    <w:rsid w:val="001D6870"/>
    <w:rsid w:val="001D6BF4"/>
    <w:rsid w:val="001D6F48"/>
    <w:rsid w:val="001D7258"/>
    <w:rsid w:val="001D760F"/>
    <w:rsid w:val="001D7883"/>
    <w:rsid w:val="001D7B71"/>
    <w:rsid w:val="001D7C68"/>
    <w:rsid w:val="001E142A"/>
    <w:rsid w:val="001E1C75"/>
    <w:rsid w:val="001E2221"/>
    <w:rsid w:val="001E2E5C"/>
    <w:rsid w:val="001E3003"/>
    <w:rsid w:val="001E395B"/>
    <w:rsid w:val="001E446D"/>
    <w:rsid w:val="001E505C"/>
    <w:rsid w:val="001E50F6"/>
    <w:rsid w:val="001E5339"/>
    <w:rsid w:val="001E58D1"/>
    <w:rsid w:val="001E5C6E"/>
    <w:rsid w:val="001E61CC"/>
    <w:rsid w:val="001E68FC"/>
    <w:rsid w:val="001F0BE9"/>
    <w:rsid w:val="001F0E93"/>
    <w:rsid w:val="001F10D6"/>
    <w:rsid w:val="001F1764"/>
    <w:rsid w:val="001F1A08"/>
    <w:rsid w:val="001F1DB8"/>
    <w:rsid w:val="001F1F74"/>
    <w:rsid w:val="001F214C"/>
    <w:rsid w:val="001F378A"/>
    <w:rsid w:val="001F43DF"/>
    <w:rsid w:val="001F4C10"/>
    <w:rsid w:val="001F51AA"/>
    <w:rsid w:val="001F6B30"/>
    <w:rsid w:val="001F7AF1"/>
    <w:rsid w:val="001F7F6F"/>
    <w:rsid w:val="002014DC"/>
    <w:rsid w:val="002021C9"/>
    <w:rsid w:val="002022AB"/>
    <w:rsid w:val="0020270F"/>
    <w:rsid w:val="00203139"/>
    <w:rsid w:val="00204837"/>
    <w:rsid w:val="00204ED8"/>
    <w:rsid w:val="00205141"/>
    <w:rsid w:val="00205327"/>
    <w:rsid w:val="002055EB"/>
    <w:rsid w:val="00205726"/>
    <w:rsid w:val="0020624D"/>
    <w:rsid w:val="002062A3"/>
    <w:rsid w:val="00207A4F"/>
    <w:rsid w:val="00207EB0"/>
    <w:rsid w:val="00210683"/>
    <w:rsid w:val="00210EBA"/>
    <w:rsid w:val="00211672"/>
    <w:rsid w:val="00211A62"/>
    <w:rsid w:val="00211C21"/>
    <w:rsid w:val="00211CC8"/>
    <w:rsid w:val="0021237B"/>
    <w:rsid w:val="00212394"/>
    <w:rsid w:val="002126AA"/>
    <w:rsid w:val="00212B37"/>
    <w:rsid w:val="00212E11"/>
    <w:rsid w:val="002138EA"/>
    <w:rsid w:val="002146DC"/>
    <w:rsid w:val="00214CB3"/>
    <w:rsid w:val="002152BE"/>
    <w:rsid w:val="002168CA"/>
    <w:rsid w:val="00216A7E"/>
    <w:rsid w:val="00216B51"/>
    <w:rsid w:val="00216D80"/>
    <w:rsid w:val="00217328"/>
    <w:rsid w:val="00217BC4"/>
    <w:rsid w:val="00217C60"/>
    <w:rsid w:val="00217E1C"/>
    <w:rsid w:val="00217F5A"/>
    <w:rsid w:val="00220411"/>
    <w:rsid w:val="00220642"/>
    <w:rsid w:val="00220D34"/>
    <w:rsid w:val="00221178"/>
    <w:rsid w:val="00221465"/>
    <w:rsid w:val="002215DE"/>
    <w:rsid w:val="002223AC"/>
    <w:rsid w:val="00223474"/>
    <w:rsid w:val="002248BF"/>
    <w:rsid w:val="0022595C"/>
    <w:rsid w:val="002268CE"/>
    <w:rsid w:val="00227249"/>
    <w:rsid w:val="002272A1"/>
    <w:rsid w:val="00227D99"/>
    <w:rsid w:val="00227DF2"/>
    <w:rsid w:val="0023058B"/>
    <w:rsid w:val="0023059B"/>
    <w:rsid w:val="002309BA"/>
    <w:rsid w:val="00230AD9"/>
    <w:rsid w:val="002323D0"/>
    <w:rsid w:val="002329A2"/>
    <w:rsid w:val="002333CC"/>
    <w:rsid w:val="00233C2B"/>
    <w:rsid w:val="00233C76"/>
    <w:rsid w:val="00233D3D"/>
    <w:rsid w:val="00234AF5"/>
    <w:rsid w:val="00235F66"/>
    <w:rsid w:val="0023611C"/>
    <w:rsid w:val="002372E9"/>
    <w:rsid w:val="002376A6"/>
    <w:rsid w:val="00237996"/>
    <w:rsid w:val="002402E8"/>
    <w:rsid w:val="002403B9"/>
    <w:rsid w:val="0024060A"/>
    <w:rsid w:val="0024098C"/>
    <w:rsid w:val="0024221C"/>
    <w:rsid w:val="00242399"/>
    <w:rsid w:val="0024340A"/>
    <w:rsid w:val="00243C0E"/>
    <w:rsid w:val="00243E4D"/>
    <w:rsid w:val="002442CC"/>
    <w:rsid w:val="00244BBF"/>
    <w:rsid w:val="00244EC0"/>
    <w:rsid w:val="0024560B"/>
    <w:rsid w:val="0024634D"/>
    <w:rsid w:val="00246416"/>
    <w:rsid w:val="00246C49"/>
    <w:rsid w:val="00246E6A"/>
    <w:rsid w:val="0025028A"/>
    <w:rsid w:val="0025072D"/>
    <w:rsid w:val="00250E12"/>
    <w:rsid w:val="00250FA4"/>
    <w:rsid w:val="00252089"/>
    <w:rsid w:val="002531C9"/>
    <w:rsid w:val="00253AF9"/>
    <w:rsid w:val="00254319"/>
    <w:rsid w:val="00254C33"/>
    <w:rsid w:val="00254DFA"/>
    <w:rsid w:val="00254E18"/>
    <w:rsid w:val="00254F8A"/>
    <w:rsid w:val="002554B7"/>
    <w:rsid w:val="00256771"/>
    <w:rsid w:val="00256A2C"/>
    <w:rsid w:val="00256C32"/>
    <w:rsid w:val="00256FA1"/>
    <w:rsid w:val="002572BB"/>
    <w:rsid w:val="002572F4"/>
    <w:rsid w:val="002574BA"/>
    <w:rsid w:val="002578B8"/>
    <w:rsid w:val="00260707"/>
    <w:rsid w:val="00260B41"/>
    <w:rsid w:val="00260EB3"/>
    <w:rsid w:val="00261D3C"/>
    <w:rsid w:val="00262F65"/>
    <w:rsid w:val="00264BB9"/>
    <w:rsid w:val="0026579C"/>
    <w:rsid w:val="00265F82"/>
    <w:rsid w:val="00267303"/>
    <w:rsid w:val="0026754F"/>
    <w:rsid w:val="00267CE9"/>
    <w:rsid w:val="002709E7"/>
    <w:rsid w:val="00270EC4"/>
    <w:rsid w:val="0027111E"/>
    <w:rsid w:val="002716DE"/>
    <w:rsid w:val="002717EE"/>
    <w:rsid w:val="00271828"/>
    <w:rsid w:val="0027183A"/>
    <w:rsid w:val="00271F6C"/>
    <w:rsid w:val="00272CC3"/>
    <w:rsid w:val="0027322D"/>
    <w:rsid w:val="0027439E"/>
    <w:rsid w:val="00274775"/>
    <w:rsid w:val="00274AD0"/>
    <w:rsid w:val="0027545F"/>
    <w:rsid w:val="002756A5"/>
    <w:rsid w:val="0027592E"/>
    <w:rsid w:val="0027608D"/>
    <w:rsid w:val="00276BCF"/>
    <w:rsid w:val="00276D85"/>
    <w:rsid w:val="002779E8"/>
    <w:rsid w:val="002801FE"/>
    <w:rsid w:val="00280537"/>
    <w:rsid w:val="002810A0"/>
    <w:rsid w:val="002818FC"/>
    <w:rsid w:val="0028207E"/>
    <w:rsid w:val="00282AAB"/>
    <w:rsid w:val="00282BB8"/>
    <w:rsid w:val="00282C84"/>
    <w:rsid w:val="00283ADD"/>
    <w:rsid w:val="00284568"/>
    <w:rsid w:val="00285345"/>
    <w:rsid w:val="00285E54"/>
    <w:rsid w:val="00285FE0"/>
    <w:rsid w:val="00286093"/>
    <w:rsid w:val="00286701"/>
    <w:rsid w:val="002867E5"/>
    <w:rsid w:val="00287BE8"/>
    <w:rsid w:val="002908B4"/>
    <w:rsid w:val="00290E19"/>
    <w:rsid w:val="00290E1B"/>
    <w:rsid w:val="00290F32"/>
    <w:rsid w:val="002912E6"/>
    <w:rsid w:val="0029147E"/>
    <w:rsid w:val="00291C20"/>
    <w:rsid w:val="00292259"/>
    <w:rsid w:val="0029252A"/>
    <w:rsid w:val="0029291C"/>
    <w:rsid w:val="00292E64"/>
    <w:rsid w:val="00294447"/>
    <w:rsid w:val="002949EA"/>
    <w:rsid w:val="00294D0F"/>
    <w:rsid w:val="00296202"/>
    <w:rsid w:val="00297356"/>
    <w:rsid w:val="00297945"/>
    <w:rsid w:val="002A017D"/>
    <w:rsid w:val="002A0B4E"/>
    <w:rsid w:val="002A11F8"/>
    <w:rsid w:val="002A2217"/>
    <w:rsid w:val="002A2F6F"/>
    <w:rsid w:val="002A3519"/>
    <w:rsid w:val="002A4347"/>
    <w:rsid w:val="002A4B3F"/>
    <w:rsid w:val="002A4FE2"/>
    <w:rsid w:val="002A5ABE"/>
    <w:rsid w:val="002A60FB"/>
    <w:rsid w:val="002A61E4"/>
    <w:rsid w:val="002A685C"/>
    <w:rsid w:val="002A6F26"/>
    <w:rsid w:val="002A772F"/>
    <w:rsid w:val="002B05A5"/>
    <w:rsid w:val="002B05FF"/>
    <w:rsid w:val="002B0812"/>
    <w:rsid w:val="002B11F5"/>
    <w:rsid w:val="002B1EAC"/>
    <w:rsid w:val="002B2FC6"/>
    <w:rsid w:val="002B33B1"/>
    <w:rsid w:val="002B47C0"/>
    <w:rsid w:val="002B5627"/>
    <w:rsid w:val="002B5F3C"/>
    <w:rsid w:val="002B6292"/>
    <w:rsid w:val="002B6375"/>
    <w:rsid w:val="002B65FE"/>
    <w:rsid w:val="002B66FE"/>
    <w:rsid w:val="002B6E29"/>
    <w:rsid w:val="002B6FF5"/>
    <w:rsid w:val="002B7C00"/>
    <w:rsid w:val="002C0159"/>
    <w:rsid w:val="002C04DB"/>
    <w:rsid w:val="002C06AE"/>
    <w:rsid w:val="002C26D0"/>
    <w:rsid w:val="002C3126"/>
    <w:rsid w:val="002C378D"/>
    <w:rsid w:val="002C39BB"/>
    <w:rsid w:val="002C3FBE"/>
    <w:rsid w:val="002C43D0"/>
    <w:rsid w:val="002C4718"/>
    <w:rsid w:val="002C4961"/>
    <w:rsid w:val="002C4F96"/>
    <w:rsid w:val="002C5199"/>
    <w:rsid w:val="002C5402"/>
    <w:rsid w:val="002C5631"/>
    <w:rsid w:val="002C586E"/>
    <w:rsid w:val="002C6A00"/>
    <w:rsid w:val="002D035B"/>
    <w:rsid w:val="002D08E5"/>
    <w:rsid w:val="002D0C3B"/>
    <w:rsid w:val="002D1193"/>
    <w:rsid w:val="002D1404"/>
    <w:rsid w:val="002D1453"/>
    <w:rsid w:val="002D16FC"/>
    <w:rsid w:val="002D2075"/>
    <w:rsid w:val="002D22FE"/>
    <w:rsid w:val="002D3204"/>
    <w:rsid w:val="002D3CDF"/>
    <w:rsid w:val="002D3D31"/>
    <w:rsid w:val="002D465D"/>
    <w:rsid w:val="002D4A3E"/>
    <w:rsid w:val="002D56B9"/>
    <w:rsid w:val="002D65AB"/>
    <w:rsid w:val="002D6D9A"/>
    <w:rsid w:val="002D6FB1"/>
    <w:rsid w:val="002D7137"/>
    <w:rsid w:val="002D72DA"/>
    <w:rsid w:val="002D7F2D"/>
    <w:rsid w:val="002D7F3A"/>
    <w:rsid w:val="002D7F72"/>
    <w:rsid w:val="002E017B"/>
    <w:rsid w:val="002E049A"/>
    <w:rsid w:val="002E084E"/>
    <w:rsid w:val="002E0D6C"/>
    <w:rsid w:val="002E14BB"/>
    <w:rsid w:val="002E17D9"/>
    <w:rsid w:val="002E2E5E"/>
    <w:rsid w:val="002E5336"/>
    <w:rsid w:val="002E5B02"/>
    <w:rsid w:val="002E6458"/>
    <w:rsid w:val="002E7FA7"/>
    <w:rsid w:val="002F0B6B"/>
    <w:rsid w:val="002F153E"/>
    <w:rsid w:val="002F16E3"/>
    <w:rsid w:val="002F2064"/>
    <w:rsid w:val="002F26F1"/>
    <w:rsid w:val="002F2CDC"/>
    <w:rsid w:val="002F3708"/>
    <w:rsid w:val="002F3F15"/>
    <w:rsid w:val="002F40E1"/>
    <w:rsid w:val="002F48CA"/>
    <w:rsid w:val="002F4B41"/>
    <w:rsid w:val="002F5BA5"/>
    <w:rsid w:val="002F5E75"/>
    <w:rsid w:val="002F5F35"/>
    <w:rsid w:val="002F604C"/>
    <w:rsid w:val="002F62AC"/>
    <w:rsid w:val="002F6630"/>
    <w:rsid w:val="002F6B61"/>
    <w:rsid w:val="002F73A4"/>
    <w:rsid w:val="0030047D"/>
    <w:rsid w:val="00300B08"/>
    <w:rsid w:val="00300F2C"/>
    <w:rsid w:val="003012BD"/>
    <w:rsid w:val="00301785"/>
    <w:rsid w:val="00302315"/>
    <w:rsid w:val="003024CE"/>
    <w:rsid w:val="00303E90"/>
    <w:rsid w:val="003040DC"/>
    <w:rsid w:val="003047C0"/>
    <w:rsid w:val="00304F0C"/>
    <w:rsid w:val="0030512E"/>
    <w:rsid w:val="003055A1"/>
    <w:rsid w:val="0030562B"/>
    <w:rsid w:val="00305DE8"/>
    <w:rsid w:val="00307DA8"/>
    <w:rsid w:val="00307EBA"/>
    <w:rsid w:val="0031076A"/>
    <w:rsid w:val="00311549"/>
    <w:rsid w:val="00312889"/>
    <w:rsid w:val="00312F5F"/>
    <w:rsid w:val="00313AB4"/>
    <w:rsid w:val="00313B46"/>
    <w:rsid w:val="00314110"/>
    <w:rsid w:val="00316844"/>
    <w:rsid w:val="00316D52"/>
    <w:rsid w:val="003172EE"/>
    <w:rsid w:val="00321C87"/>
    <w:rsid w:val="00321EAD"/>
    <w:rsid w:val="003220AD"/>
    <w:rsid w:val="0032277F"/>
    <w:rsid w:val="003228EE"/>
    <w:rsid w:val="00322EFA"/>
    <w:rsid w:val="00324A15"/>
    <w:rsid w:val="00324D3A"/>
    <w:rsid w:val="003262B8"/>
    <w:rsid w:val="00327ED7"/>
    <w:rsid w:val="003305D4"/>
    <w:rsid w:val="003307D1"/>
    <w:rsid w:val="00330938"/>
    <w:rsid w:val="003314B0"/>
    <w:rsid w:val="003315FA"/>
    <w:rsid w:val="00331EB3"/>
    <w:rsid w:val="00332CD7"/>
    <w:rsid w:val="003333F8"/>
    <w:rsid w:val="0033393B"/>
    <w:rsid w:val="00335054"/>
    <w:rsid w:val="0033585D"/>
    <w:rsid w:val="00335AE8"/>
    <w:rsid w:val="00335EA7"/>
    <w:rsid w:val="00336586"/>
    <w:rsid w:val="003368E0"/>
    <w:rsid w:val="003369DE"/>
    <w:rsid w:val="00336A55"/>
    <w:rsid w:val="00336B20"/>
    <w:rsid w:val="00340453"/>
    <w:rsid w:val="00340A03"/>
    <w:rsid w:val="0034122C"/>
    <w:rsid w:val="00341272"/>
    <w:rsid w:val="00341C85"/>
    <w:rsid w:val="003420C4"/>
    <w:rsid w:val="00342A4A"/>
    <w:rsid w:val="00342E04"/>
    <w:rsid w:val="0034328B"/>
    <w:rsid w:val="003435B1"/>
    <w:rsid w:val="00343C0A"/>
    <w:rsid w:val="003440E2"/>
    <w:rsid w:val="0034549E"/>
    <w:rsid w:val="00345CFA"/>
    <w:rsid w:val="00345EC7"/>
    <w:rsid w:val="00346061"/>
    <w:rsid w:val="003463B8"/>
    <w:rsid w:val="003468F0"/>
    <w:rsid w:val="00346C3C"/>
    <w:rsid w:val="00347B46"/>
    <w:rsid w:val="00347FE8"/>
    <w:rsid w:val="003503DA"/>
    <w:rsid w:val="00350746"/>
    <w:rsid w:val="00351116"/>
    <w:rsid w:val="00351F56"/>
    <w:rsid w:val="0035307E"/>
    <w:rsid w:val="00353E90"/>
    <w:rsid w:val="00353F28"/>
    <w:rsid w:val="003545E7"/>
    <w:rsid w:val="00354C37"/>
    <w:rsid w:val="003560DC"/>
    <w:rsid w:val="003563ED"/>
    <w:rsid w:val="003575A4"/>
    <w:rsid w:val="00357E33"/>
    <w:rsid w:val="00357F55"/>
    <w:rsid w:val="0036092D"/>
    <w:rsid w:val="00360D67"/>
    <w:rsid w:val="003633CD"/>
    <w:rsid w:val="0036377A"/>
    <w:rsid w:val="00363F9D"/>
    <w:rsid w:val="003645AC"/>
    <w:rsid w:val="003648CA"/>
    <w:rsid w:val="00364B38"/>
    <w:rsid w:val="003652DD"/>
    <w:rsid w:val="00365ABC"/>
    <w:rsid w:val="00365EB3"/>
    <w:rsid w:val="00366228"/>
    <w:rsid w:val="00366741"/>
    <w:rsid w:val="00367459"/>
    <w:rsid w:val="0037007F"/>
    <w:rsid w:val="00370432"/>
    <w:rsid w:val="00370CBA"/>
    <w:rsid w:val="00371470"/>
    <w:rsid w:val="00371568"/>
    <w:rsid w:val="00371647"/>
    <w:rsid w:val="00371CA5"/>
    <w:rsid w:val="00372F22"/>
    <w:rsid w:val="0037325D"/>
    <w:rsid w:val="0037398C"/>
    <w:rsid w:val="00374C6B"/>
    <w:rsid w:val="00374E35"/>
    <w:rsid w:val="00375273"/>
    <w:rsid w:val="003752F2"/>
    <w:rsid w:val="003753EA"/>
    <w:rsid w:val="003754A3"/>
    <w:rsid w:val="00375545"/>
    <w:rsid w:val="003768ED"/>
    <w:rsid w:val="003769C2"/>
    <w:rsid w:val="00376DE5"/>
    <w:rsid w:val="00377CF3"/>
    <w:rsid w:val="0038018A"/>
    <w:rsid w:val="003801A9"/>
    <w:rsid w:val="00380B3B"/>
    <w:rsid w:val="003812B4"/>
    <w:rsid w:val="003812D6"/>
    <w:rsid w:val="003816AB"/>
    <w:rsid w:val="00382719"/>
    <w:rsid w:val="00383632"/>
    <w:rsid w:val="003840E8"/>
    <w:rsid w:val="00384766"/>
    <w:rsid w:val="00384E40"/>
    <w:rsid w:val="00384E45"/>
    <w:rsid w:val="00385183"/>
    <w:rsid w:val="00385BA4"/>
    <w:rsid w:val="0038632B"/>
    <w:rsid w:val="00386AA8"/>
    <w:rsid w:val="0038772F"/>
    <w:rsid w:val="00387ACC"/>
    <w:rsid w:val="00390915"/>
    <w:rsid w:val="00390E32"/>
    <w:rsid w:val="00391083"/>
    <w:rsid w:val="003913F4"/>
    <w:rsid w:val="00391A77"/>
    <w:rsid w:val="00391B5C"/>
    <w:rsid w:val="00392E8A"/>
    <w:rsid w:val="00392EF3"/>
    <w:rsid w:val="0039380E"/>
    <w:rsid w:val="00395052"/>
    <w:rsid w:val="00395175"/>
    <w:rsid w:val="003951B4"/>
    <w:rsid w:val="00395383"/>
    <w:rsid w:val="0039588D"/>
    <w:rsid w:val="00395B45"/>
    <w:rsid w:val="00396231"/>
    <w:rsid w:val="0039626C"/>
    <w:rsid w:val="003969D4"/>
    <w:rsid w:val="00397316"/>
    <w:rsid w:val="00397A1B"/>
    <w:rsid w:val="00397A49"/>
    <w:rsid w:val="00397B95"/>
    <w:rsid w:val="003A011C"/>
    <w:rsid w:val="003A1802"/>
    <w:rsid w:val="003A3E8A"/>
    <w:rsid w:val="003A506A"/>
    <w:rsid w:val="003A56B1"/>
    <w:rsid w:val="003A6E35"/>
    <w:rsid w:val="003A6EFC"/>
    <w:rsid w:val="003A7424"/>
    <w:rsid w:val="003A77FE"/>
    <w:rsid w:val="003A7ECF"/>
    <w:rsid w:val="003B02D9"/>
    <w:rsid w:val="003B04A8"/>
    <w:rsid w:val="003B0A49"/>
    <w:rsid w:val="003B11FF"/>
    <w:rsid w:val="003B1822"/>
    <w:rsid w:val="003B1A6E"/>
    <w:rsid w:val="003B209B"/>
    <w:rsid w:val="003B22CD"/>
    <w:rsid w:val="003B2EB7"/>
    <w:rsid w:val="003B369C"/>
    <w:rsid w:val="003B3E12"/>
    <w:rsid w:val="003B7A56"/>
    <w:rsid w:val="003C0045"/>
    <w:rsid w:val="003C0C7A"/>
    <w:rsid w:val="003C0E45"/>
    <w:rsid w:val="003C1274"/>
    <w:rsid w:val="003C14C4"/>
    <w:rsid w:val="003C1764"/>
    <w:rsid w:val="003C1D63"/>
    <w:rsid w:val="003C36FD"/>
    <w:rsid w:val="003C38E6"/>
    <w:rsid w:val="003C51FD"/>
    <w:rsid w:val="003C54AD"/>
    <w:rsid w:val="003C57CF"/>
    <w:rsid w:val="003C67F9"/>
    <w:rsid w:val="003C69A4"/>
    <w:rsid w:val="003C6C5A"/>
    <w:rsid w:val="003C6EDF"/>
    <w:rsid w:val="003C6F10"/>
    <w:rsid w:val="003C7E41"/>
    <w:rsid w:val="003D13F4"/>
    <w:rsid w:val="003D238F"/>
    <w:rsid w:val="003D2405"/>
    <w:rsid w:val="003D2A06"/>
    <w:rsid w:val="003D2F66"/>
    <w:rsid w:val="003D3320"/>
    <w:rsid w:val="003D35D9"/>
    <w:rsid w:val="003D3F82"/>
    <w:rsid w:val="003D4B84"/>
    <w:rsid w:val="003D5712"/>
    <w:rsid w:val="003D5AB8"/>
    <w:rsid w:val="003D6D24"/>
    <w:rsid w:val="003D736A"/>
    <w:rsid w:val="003D78D0"/>
    <w:rsid w:val="003D794D"/>
    <w:rsid w:val="003D7A0B"/>
    <w:rsid w:val="003E0CE8"/>
    <w:rsid w:val="003E1130"/>
    <w:rsid w:val="003E26B7"/>
    <w:rsid w:val="003E2E3E"/>
    <w:rsid w:val="003E2FE3"/>
    <w:rsid w:val="003E30CB"/>
    <w:rsid w:val="003E3651"/>
    <w:rsid w:val="003E4764"/>
    <w:rsid w:val="003E4910"/>
    <w:rsid w:val="003E4AE4"/>
    <w:rsid w:val="003E4CA1"/>
    <w:rsid w:val="003E4CF6"/>
    <w:rsid w:val="003E5154"/>
    <w:rsid w:val="003E5512"/>
    <w:rsid w:val="003E6902"/>
    <w:rsid w:val="003E75F9"/>
    <w:rsid w:val="003E7BB8"/>
    <w:rsid w:val="003E7DAE"/>
    <w:rsid w:val="003F2671"/>
    <w:rsid w:val="003F2A53"/>
    <w:rsid w:val="003F2C93"/>
    <w:rsid w:val="003F2C9E"/>
    <w:rsid w:val="003F3501"/>
    <w:rsid w:val="003F363C"/>
    <w:rsid w:val="003F3A02"/>
    <w:rsid w:val="003F3EB2"/>
    <w:rsid w:val="003F4905"/>
    <w:rsid w:val="003F5091"/>
    <w:rsid w:val="003F5DFF"/>
    <w:rsid w:val="003F6B94"/>
    <w:rsid w:val="003F6C3B"/>
    <w:rsid w:val="003F74FC"/>
    <w:rsid w:val="003F784B"/>
    <w:rsid w:val="003F7960"/>
    <w:rsid w:val="003F79AB"/>
    <w:rsid w:val="004003D9"/>
    <w:rsid w:val="004009DC"/>
    <w:rsid w:val="00400F3C"/>
    <w:rsid w:val="00401C3D"/>
    <w:rsid w:val="0040233D"/>
    <w:rsid w:val="004027E5"/>
    <w:rsid w:val="00402F6E"/>
    <w:rsid w:val="00404429"/>
    <w:rsid w:val="0040724B"/>
    <w:rsid w:val="00407446"/>
    <w:rsid w:val="00410C91"/>
    <w:rsid w:val="00411003"/>
    <w:rsid w:val="00412060"/>
    <w:rsid w:val="00412166"/>
    <w:rsid w:val="004123D3"/>
    <w:rsid w:val="00413967"/>
    <w:rsid w:val="004145B4"/>
    <w:rsid w:val="00415D32"/>
    <w:rsid w:val="0041628F"/>
    <w:rsid w:val="004165A9"/>
    <w:rsid w:val="004205B9"/>
    <w:rsid w:val="004216F9"/>
    <w:rsid w:val="00421A6C"/>
    <w:rsid w:val="00423489"/>
    <w:rsid w:val="00423FAC"/>
    <w:rsid w:val="004240B3"/>
    <w:rsid w:val="00424A82"/>
    <w:rsid w:val="004260B5"/>
    <w:rsid w:val="004265AA"/>
    <w:rsid w:val="00427507"/>
    <w:rsid w:val="00427DA9"/>
    <w:rsid w:val="00431AF0"/>
    <w:rsid w:val="004320D8"/>
    <w:rsid w:val="0043221F"/>
    <w:rsid w:val="004329B4"/>
    <w:rsid w:val="00433369"/>
    <w:rsid w:val="004334DB"/>
    <w:rsid w:val="00433CE0"/>
    <w:rsid w:val="00433F31"/>
    <w:rsid w:val="00434A75"/>
    <w:rsid w:val="004350DB"/>
    <w:rsid w:val="004365CF"/>
    <w:rsid w:val="00436BBA"/>
    <w:rsid w:val="00437192"/>
    <w:rsid w:val="00437516"/>
    <w:rsid w:val="004378F6"/>
    <w:rsid w:val="0044086E"/>
    <w:rsid w:val="004418EC"/>
    <w:rsid w:val="0044232B"/>
    <w:rsid w:val="00442E10"/>
    <w:rsid w:val="00442E6C"/>
    <w:rsid w:val="0044451C"/>
    <w:rsid w:val="00444FF2"/>
    <w:rsid w:val="004457AD"/>
    <w:rsid w:val="004459B9"/>
    <w:rsid w:val="00445DF7"/>
    <w:rsid w:val="00445E44"/>
    <w:rsid w:val="00445E5E"/>
    <w:rsid w:val="00446050"/>
    <w:rsid w:val="00446248"/>
    <w:rsid w:val="0044713F"/>
    <w:rsid w:val="00447725"/>
    <w:rsid w:val="004479A7"/>
    <w:rsid w:val="0045005C"/>
    <w:rsid w:val="00450A0F"/>
    <w:rsid w:val="00450AAF"/>
    <w:rsid w:val="00451A47"/>
    <w:rsid w:val="00451A65"/>
    <w:rsid w:val="004525AA"/>
    <w:rsid w:val="0045263F"/>
    <w:rsid w:val="004527AD"/>
    <w:rsid w:val="00452942"/>
    <w:rsid w:val="00452DBE"/>
    <w:rsid w:val="00453100"/>
    <w:rsid w:val="00456A6D"/>
    <w:rsid w:val="00456A82"/>
    <w:rsid w:val="00456AEC"/>
    <w:rsid w:val="00456C48"/>
    <w:rsid w:val="00456C62"/>
    <w:rsid w:val="00456FE2"/>
    <w:rsid w:val="004579AF"/>
    <w:rsid w:val="0046016E"/>
    <w:rsid w:val="004604CD"/>
    <w:rsid w:val="0046104B"/>
    <w:rsid w:val="00461255"/>
    <w:rsid w:val="004618A5"/>
    <w:rsid w:val="00462AF2"/>
    <w:rsid w:val="00462B56"/>
    <w:rsid w:val="00463B27"/>
    <w:rsid w:val="00463BA5"/>
    <w:rsid w:val="00463C72"/>
    <w:rsid w:val="004641E6"/>
    <w:rsid w:val="0046489C"/>
    <w:rsid w:val="00464CC4"/>
    <w:rsid w:val="004662A2"/>
    <w:rsid w:val="004664A5"/>
    <w:rsid w:val="00466FE7"/>
    <w:rsid w:val="00467909"/>
    <w:rsid w:val="00467A05"/>
    <w:rsid w:val="00467A82"/>
    <w:rsid w:val="00471D80"/>
    <w:rsid w:val="00472D30"/>
    <w:rsid w:val="00474296"/>
    <w:rsid w:val="004742EB"/>
    <w:rsid w:val="00474BC3"/>
    <w:rsid w:val="00474C12"/>
    <w:rsid w:val="00477F17"/>
    <w:rsid w:val="004800AA"/>
    <w:rsid w:val="00480320"/>
    <w:rsid w:val="00482316"/>
    <w:rsid w:val="0048278F"/>
    <w:rsid w:val="004828BF"/>
    <w:rsid w:val="00482C12"/>
    <w:rsid w:val="00482E7A"/>
    <w:rsid w:val="00484AEC"/>
    <w:rsid w:val="00485829"/>
    <w:rsid w:val="00485A7E"/>
    <w:rsid w:val="00486CE8"/>
    <w:rsid w:val="0048736F"/>
    <w:rsid w:val="00490469"/>
    <w:rsid w:val="0049048F"/>
    <w:rsid w:val="004905FA"/>
    <w:rsid w:val="00490744"/>
    <w:rsid w:val="00490BEC"/>
    <w:rsid w:val="00490E09"/>
    <w:rsid w:val="00491007"/>
    <w:rsid w:val="00491B32"/>
    <w:rsid w:val="00491CEC"/>
    <w:rsid w:val="00492C66"/>
    <w:rsid w:val="00492D9A"/>
    <w:rsid w:val="004938A5"/>
    <w:rsid w:val="00493E40"/>
    <w:rsid w:val="00493F7D"/>
    <w:rsid w:val="0049462A"/>
    <w:rsid w:val="004954A2"/>
    <w:rsid w:val="0049599A"/>
    <w:rsid w:val="00496C0D"/>
    <w:rsid w:val="00497365"/>
    <w:rsid w:val="00497641"/>
    <w:rsid w:val="004976B6"/>
    <w:rsid w:val="004A0048"/>
    <w:rsid w:val="004A0865"/>
    <w:rsid w:val="004A0951"/>
    <w:rsid w:val="004A0C24"/>
    <w:rsid w:val="004A1035"/>
    <w:rsid w:val="004A1328"/>
    <w:rsid w:val="004A17E3"/>
    <w:rsid w:val="004A1F5B"/>
    <w:rsid w:val="004A263F"/>
    <w:rsid w:val="004A2E20"/>
    <w:rsid w:val="004A37BB"/>
    <w:rsid w:val="004A4EF6"/>
    <w:rsid w:val="004A546C"/>
    <w:rsid w:val="004A638B"/>
    <w:rsid w:val="004A77C4"/>
    <w:rsid w:val="004B01FF"/>
    <w:rsid w:val="004B0745"/>
    <w:rsid w:val="004B0F64"/>
    <w:rsid w:val="004B5ADC"/>
    <w:rsid w:val="004B68C2"/>
    <w:rsid w:val="004B714C"/>
    <w:rsid w:val="004B75BE"/>
    <w:rsid w:val="004B7A7B"/>
    <w:rsid w:val="004C027F"/>
    <w:rsid w:val="004C07FC"/>
    <w:rsid w:val="004C0C0F"/>
    <w:rsid w:val="004C0E80"/>
    <w:rsid w:val="004C0EC4"/>
    <w:rsid w:val="004C1FFC"/>
    <w:rsid w:val="004C2235"/>
    <w:rsid w:val="004C2A4F"/>
    <w:rsid w:val="004C3AA4"/>
    <w:rsid w:val="004C5004"/>
    <w:rsid w:val="004C519C"/>
    <w:rsid w:val="004C522D"/>
    <w:rsid w:val="004C6014"/>
    <w:rsid w:val="004C737D"/>
    <w:rsid w:val="004C7E0B"/>
    <w:rsid w:val="004D00CE"/>
    <w:rsid w:val="004D0594"/>
    <w:rsid w:val="004D0C92"/>
    <w:rsid w:val="004D3156"/>
    <w:rsid w:val="004D3957"/>
    <w:rsid w:val="004D4480"/>
    <w:rsid w:val="004D4F17"/>
    <w:rsid w:val="004D5CE1"/>
    <w:rsid w:val="004D7E5C"/>
    <w:rsid w:val="004E03E0"/>
    <w:rsid w:val="004E0BCC"/>
    <w:rsid w:val="004E0E16"/>
    <w:rsid w:val="004E1511"/>
    <w:rsid w:val="004E1766"/>
    <w:rsid w:val="004E2BFF"/>
    <w:rsid w:val="004E303E"/>
    <w:rsid w:val="004E391D"/>
    <w:rsid w:val="004E4239"/>
    <w:rsid w:val="004E5151"/>
    <w:rsid w:val="004E5735"/>
    <w:rsid w:val="004E5BDD"/>
    <w:rsid w:val="004E5E19"/>
    <w:rsid w:val="004E71C3"/>
    <w:rsid w:val="004F09D2"/>
    <w:rsid w:val="004F0C10"/>
    <w:rsid w:val="004F1F39"/>
    <w:rsid w:val="004F26CB"/>
    <w:rsid w:val="004F2854"/>
    <w:rsid w:val="004F2A32"/>
    <w:rsid w:val="004F32B8"/>
    <w:rsid w:val="004F3848"/>
    <w:rsid w:val="004F49D9"/>
    <w:rsid w:val="004F54CE"/>
    <w:rsid w:val="004F573A"/>
    <w:rsid w:val="004F5BD7"/>
    <w:rsid w:val="004F6752"/>
    <w:rsid w:val="004F6C54"/>
    <w:rsid w:val="004F71CF"/>
    <w:rsid w:val="0050002E"/>
    <w:rsid w:val="00500086"/>
    <w:rsid w:val="00500529"/>
    <w:rsid w:val="00502103"/>
    <w:rsid w:val="0050212A"/>
    <w:rsid w:val="005023EB"/>
    <w:rsid w:val="005023F1"/>
    <w:rsid w:val="00502617"/>
    <w:rsid w:val="0050269C"/>
    <w:rsid w:val="0050285A"/>
    <w:rsid w:val="00502926"/>
    <w:rsid w:val="00503441"/>
    <w:rsid w:val="00503F9D"/>
    <w:rsid w:val="00504017"/>
    <w:rsid w:val="00504BCE"/>
    <w:rsid w:val="00505D6F"/>
    <w:rsid w:val="00507B29"/>
    <w:rsid w:val="005102A5"/>
    <w:rsid w:val="0051064A"/>
    <w:rsid w:val="00510B50"/>
    <w:rsid w:val="00510D8A"/>
    <w:rsid w:val="00512010"/>
    <w:rsid w:val="0051225B"/>
    <w:rsid w:val="005122FB"/>
    <w:rsid w:val="00512EC0"/>
    <w:rsid w:val="00513370"/>
    <w:rsid w:val="0051352D"/>
    <w:rsid w:val="005137BC"/>
    <w:rsid w:val="00513B93"/>
    <w:rsid w:val="00513FA4"/>
    <w:rsid w:val="00514A68"/>
    <w:rsid w:val="00514E3F"/>
    <w:rsid w:val="00515073"/>
    <w:rsid w:val="00515800"/>
    <w:rsid w:val="00515FFB"/>
    <w:rsid w:val="00516A55"/>
    <w:rsid w:val="00517347"/>
    <w:rsid w:val="00517E25"/>
    <w:rsid w:val="005208CF"/>
    <w:rsid w:val="00520AAC"/>
    <w:rsid w:val="00522737"/>
    <w:rsid w:val="00522AAE"/>
    <w:rsid w:val="00522BA3"/>
    <w:rsid w:val="0052386E"/>
    <w:rsid w:val="0052388A"/>
    <w:rsid w:val="00524FF3"/>
    <w:rsid w:val="005254BC"/>
    <w:rsid w:val="005255CF"/>
    <w:rsid w:val="005256AF"/>
    <w:rsid w:val="005265BB"/>
    <w:rsid w:val="005273AD"/>
    <w:rsid w:val="005274DD"/>
    <w:rsid w:val="005301E9"/>
    <w:rsid w:val="0053066F"/>
    <w:rsid w:val="00530B9C"/>
    <w:rsid w:val="00530BB0"/>
    <w:rsid w:val="005312EF"/>
    <w:rsid w:val="005321DD"/>
    <w:rsid w:val="00532200"/>
    <w:rsid w:val="0053228D"/>
    <w:rsid w:val="005328EB"/>
    <w:rsid w:val="00532A27"/>
    <w:rsid w:val="00533C13"/>
    <w:rsid w:val="005340D9"/>
    <w:rsid w:val="005341EB"/>
    <w:rsid w:val="00534A29"/>
    <w:rsid w:val="00534FD8"/>
    <w:rsid w:val="00535DF8"/>
    <w:rsid w:val="00536690"/>
    <w:rsid w:val="005375B3"/>
    <w:rsid w:val="0053769D"/>
    <w:rsid w:val="005401EE"/>
    <w:rsid w:val="00540303"/>
    <w:rsid w:val="005409BC"/>
    <w:rsid w:val="00541961"/>
    <w:rsid w:val="00542364"/>
    <w:rsid w:val="005441C1"/>
    <w:rsid w:val="00544475"/>
    <w:rsid w:val="00546455"/>
    <w:rsid w:val="00546A5A"/>
    <w:rsid w:val="00546B25"/>
    <w:rsid w:val="00546DE4"/>
    <w:rsid w:val="0054729E"/>
    <w:rsid w:val="005478E8"/>
    <w:rsid w:val="00547EF8"/>
    <w:rsid w:val="0055118E"/>
    <w:rsid w:val="00552020"/>
    <w:rsid w:val="00552BB5"/>
    <w:rsid w:val="005531F9"/>
    <w:rsid w:val="00553714"/>
    <w:rsid w:val="00554A1C"/>
    <w:rsid w:val="00554DFD"/>
    <w:rsid w:val="005551CA"/>
    <w:rsid w:val="00555373"/>
    <w:rsid w:val="00555BED"/>
    <w:rsid w:val="00555CB7"/>
    <w:rsid w:val="00555E68"/>
    <w:rsid w:val="0055632D"/>
    <w:rsid w:val="00556D97"/>
    <w:rsid w:val="005573E8"/>
    <w:rsid w:val="00557841"/>
    <w:rsid w:val="00560CAE"/>
    <w:rsid w:val="00560CE7"/>
    <w:rsid w:val="00562270"/>
    <w:rsid w:val="0056332A"/>
    <w:rsid w:val="00566F1B"/>
    <w:rsid w:val="0056718D"/>
    <w:rsid w:val="00570716"/>
    <w:rsid w:val="00571454"/>
    <w:rsid w:val="0057281C"/>
    <w:rsid w:val="00572D02"/>
    <w:rsid w:val="00573341"/>
    <w:rsid w:val="005753E1"/>
    <w:rsid w:val="005754C5"/>
    <w:rsid w:val="00576067"/>
    <w:rsid w:val="0057615C"/>
    <w:rsid w:val="00576202"/>
    <w:rsid w:val="005764AB"/>
    <w:rsid w:val="005779C0"/>
    <w:rsid w:val="00581A59"/>
    <w:rsid w:val="00581AA1"/>
    <w:rsid w:val="005839BA"/>
    <w:rsid w:val="005839C3"/>
    <w:rsid w:val="00584665"/>
    <w:rsid w:val="005849C6"/>
    <w:rsid w:val="005852B2"/>
    <w:rsid w:val="00585A11"/>
    <w:rsid w:val="00585C2F"/>
    <w:rsid w:val="00586DA2"/>
    <w:rsid w:val="00586DEB"/>
    <w:rsid w:val="00587E69"/>
    <w:rsid w:val="005900EA"/>
    <w:rsid w:val="0059091B"/>
    <w:rsid w:val="00590A6E"/>
    <w:rsid w:val="00590D33"/>
    <w:rsid w:val="005912BC"/>
    <w:rsid w:val="005917B9"/>
    <w:rsid w:val="00591E53"/>
    <w:rsid w:val="005924BC"/>
    <w:rsid w:val="00592653"/>
    <w:rsid w:val="00592666"/>
    <w:rsid w:val="00593D91"/>
    <w:rsid w:val="00593E94"/>
    <w:rsid w:val="00594061"/>
    <w:rsid w:val="00594292"/>
    <w:rsid w:val="00594404"/>
    <w:rsid w:val="005947D5"/>
    <w:rsid w:val="0059561E"/>
    <w:rsid w:val="00596153"/>
    <w:rsid w:val="00596571"/>
    <w:rsid w:val="005A003D"/>
    <w:rsid w:val="005A1D84"/>
    <w:rsid w:val="005A1E4A"/>
    <w:rsid w:val="005A2364"/>
    <w:rsid w:val="005A2CCE"/>
    <w:rsid w:val="005A3175"/>
    <w:rsid w:val="005A376B"/>
    <w:rsid w:val="005A3DCE"/>
    <w:rsid w:val="005A3FFF"/>
    <w:rsid w:val="005A46F5"/>
    <w:rsid w:val="005A4C78"/>
    <w:rsid w:val="005A5055"/>
    <w:rsid w:val="005A5B3F"/>
    <w:rsid w:val="005A6466"/>
    <w:rsid w:val="005A6C03"/>
    <w:rsid w:val="005A6D98"/>
    <w:rsid w:val="005A6FC2"/>
    <w:rsid w:val="005A7DF2"/>
    <w:rsid w:val="005B00F2"/>
    <w:rsid w:val="005B0DF5"/>
    <w:rsid w:val="005B15CD"/>
    <w:rsid w:val="005B3563"/>
    <w:rsid w:val="005B3ADA"/>
    <w:rsid w:val="005B3D33"/>
    <w:rsid w:val="005B42FC"/>
    <w:rsid w:val="005B43FD"/>
    <w:rsid w:val="005B45A1"/>
    <w:rsid w:val="005B47AF"/>
    <w:rsid w:val="005B4B41"/>
    <w:rsid w:val="005B4F7C"/>
    <w:rsid w:val="005B50B6"/>
    <w:rsid w:val="005B541B"/>
    <w:rsid w:val="005B63F4"/>
    <w:rsid w:val="005B64A9"/>
    <w:rsid w:val="005B6C2C"/>
    <w:rsid w:val="005C0635"/>
    <w:rsid w:val="005C1F57"/>
    <w:rsid w:val="005C212B"/>
    <w:rsid w:val="005C2A5B"/>
    <w:rsid w:val="005C3D1D"/>
    <w:rsid w:val="005C5197"/>
    <w:rsid w:val="005C5899"/>
    <w:rsid w:val="005C6282"/>
    <w:rsid w:val="005C6440"/>
    <w:rsid w:val="005C65BE"/>
    <w:rsid w:val="005C6756"/>
    <w:rsid w:val="005C7053"/>
    <w:rsid w:val="005C7CBE"/>
    <w:rsid w:val="005C7D73"/>
    <w:rsid w:val="005D08B5"/>
    <w:rsid w:val="005D1D0A"/>
    <w:rsid w:val="005D1D42"/>
    <w:rsid w:val="005D1FBF"/>
    <w:rsid w:val="005D21D4"/>
    <w:rsid w:val="005D3FDD"/>
    <w:rsid w:val="005D5AB4"/>
    <w:rsid w:val="005D67D2"/>
    <w:rsid w:val="005D7ABF"/>
    <w:rsid w:val="005E1031"/>
    <w:rsid w:val="005E1098"/>
    <w:rsid w:val="005E2B6E"/>
    <w:rsid w:val="005E3403"/>
    <w:rsid w:val="005E3495"/>
    <w:rsid w:val="005E36AB"/>
    <w:rsid w:val="005E42C5"/>
    <w:rsid w:val="005E4E6E"/>
    <w:rsid w:val="005E59FE"/>
    <w:rsid w:val="005E5D0D"/>
    <w:rsid w:val="005E5E33"/>
    <w:rsid w:val="005E6324"/>
    <w:rsid w:val="005E635E"/>
    <w:rsid w:val="005E65D7"/>
    <w:rsid w:val="005E69D7"/>
    <w:rsid w:val="005E6D94"/>
    <w:rsid w:val="005E71F9"/>
    <w:rsid w:val="005E7FB4"/>
    <w:rsid w:val="005F00BD"/>
    <w:rsid w:val="005F034D"/>
    <w:rsid w:val="005F03CB"/>
    <w:rsid w:val="005F07F3"/>
    <w:rsid w:val="005F09E7"/>
    <w:rsid w:val="005F13AC"/>
    <w:rsid w:val="005F1546"/>
    <w:rsid w:val="005F1C75"/>
    <w:rsid w:val="005F22D8"/>
    <w:rsid w:val="005F3D69"/>
    <w:rsid w:val="005F3F2F"/>
    <w:rsid w:val="005F45F3"/>
    <w:rsid w:val="005F5156"/>
    <w:rsid w:val="005F669A"/>
    <w:rsid w:val="005F7458"/>
    <w:rsid w:val="005F763F"/>
    <w:rsid w:val="00600A9A"/>
    <w:rsid w:val="006014E3"/>
    <w:rsid w:val="0060265A"/>
    <w:rsid w:val="00603134"/>
    <w:rsid w:val="00603473"/>
    <w:rsid w:val="00603930"/>
    <w:rsid w:val="00603E09"/>
    <w:rsid w:val="00604A18"/>
    <w:rsid w:val="00604B09"/>
    <w:rsid w:val="00604E29"/>
    <w:rsid w:val="00604FDE"/>
    <w:rsid w:val="006061AB"/>
    <w:rsid w:val="00606E01"/>
    <w:rsid w:val="00606EF4"/>
    <w:rsid w:val="00607031"/>
    <w:rsid w:val="00610F92"/>
    <w:rsid w:val="00611492"/>
    <w:rsid w:val="00611ED9"/>
    <w:rsid w:val="00612522"/>
    <w:rsid w:val="00612CB2"/>
    <w:rsid w:val="0061464B"/>
    <w:rsid w:val="00614A06"/>
    <w:rsid w:val="00615005"/>
    <w:rsid w:val="0061647A"/>
    <w:rsid w:val="00617AB0"/>
    <w:rsid w:val="00617AE7"/>
    <w:rsid w:val="00617EED"/>
    <w:rsid w:val="00620D6B"/>
    <w:rsid w:val="0062151D"/>
    <w:rsid w:val="00621673"/>
    <w:rsid w:val="00622162"/>
    <w:rsid w:val="006227A3"/>
    <w:rsid w:val="006227EA"/>
    <w:rsid w:val="00622980"/>
    <w:rsid w:val="00622B1D"/>
    <w:rsid w:val="00622B61"/>
    <w:rsid w:val="006253E4"/>
    <w:rsid w:val="006255E5"/>
    <w:rsid w:val="00625FFC"/>
    <w:rsid w:val="00626459"/>
    <w:rsid w:val="006271F2"/>
    <w:rsid w:val="00627D7C"/>
    <w:rsid w:val="00627EB2"/>
    <w:rsid w:val="00630020"/>
    <w:rsid w:val="00630C18"/>
    <w:rsid w:val="00631A44"/>
    <w:rsid w:val="00633B48"/>
    <w:rsid w:val="00633D1A"/>
    <w:rsid w:val="006341A0"/>
    <w:rsid w:val="00634422"/>
    <w:rsid w:val="006355B0"/>
    <w:rsid w:val="00635A5D"/>
    <w:rsid w:val="0063607C"/>
    <w:rsid w:val="00636E50"/>
    <w:rsid w:val="006376C5"/>
    <w:rsid w:val="006406F4"/>
    <w:rsid w:val="00640E0E"/>
    <w:rsid w:val="00641221"/>
    <w:rsid w:val="006416C0"/>
    <w:rsid w:val="00641908"/>
    <w:rsid w:val="00641987"/>
    <w:rsid w:val="00641CFD"/>
    <w:rsid w:val="00641F37"/>
    <w:rsid w:val="00642557"/>
    <w:rsid w:val="00642B2E"/>
    <w:rsid w:val="00642C6F"/>
    <w:rsid w:val="00642ECE"/>
    <w:rsid w:val="00643E69"/>
    <w:rsid w:val="006448D4"/>
    <w:rsid w:val="00645200"/>
    <w:rsid w:val="00645BB9"/>
    <w:rsid w:val="00645C65"/>
    <w:rsid w:val="0064641F"/>
    <w:rsid w:val="00646CD1"/>
    <w:rsid w:val="0064732F"/>
    <w:rsid w:val="00647639"/>
    <w:rsid w:val="0064765E"/>
    <w:rsid w:val="006508AF"/>
    <w:rsid w:val="00650D2D"/>
    <w:rsid w:val="00650DB9"/>
    <w:rsid w:val="006521FE"/>
    <w:rsid w:val="00652EC5"/>
    <w:rsid w:val="0065309C"/>
    <w:rsid w:val="00654B58"/>
    <w:rsid w:val="00655551"/>
    <w:rsid w:val="00655FE2"/>
    <w:rsid w:val="00657117"/>
    <w:rsid w:val="006577BB"/>
    <w:rsid w:val="00657BA5"/>
    <w:rsid w:val="00661153"/>
    <w:rsid w:val="006612F4"/>
    <w:rsid w:val="00661C3C"/>
    <w:rsid w:val="00661CD3"/>
    <w:rsid w:val="006623A9"/>
    <w:rsid w:val="00662E27"/>
    <w:rsid w:val="006661C2"/>
    <w:rsid w:val="00666308"/>
    <w:rsid w:val="00666C82"/>
    <w:rsid w:val="00666CDB"/>
    <w:rsid w:val="00666D1D"/>
    <w:rsid w:val="00667813"/>
    <w:rsid w:val="006701B0"/>
    <w:rsid w:val="006705E6"/>
    <w:rsid w:val="0067111C"/>
    <w:rsid w:val="006713A7"/>
    <w:rsid w:val="006715BA"/>
    <w:rsid w:val="00671CFA"/>
    <w:rsid w:val="006729D5"/>
    <w:rsid w:val="00672B52"/>
    <w:rsid w:val="00673F6C"/>
    <w:rsid w:val="006749A0"/>
    <w:rsid w:val="00674BEF"/>
    <w:rsid w:val="00675F3D"/>
    <w:rsid w:val="00676364"/>
    <w:rsid w:val="0068132C"/>
    <w:rsid w:val="00681350"/>
    <w:rsid w:val="00681A7E"/>
    <w:rsid w:val="00681BC8"/>
    <w:rsid w:val="00682047"/>
    <w:rsid w:val="006828FF"/>
    <w:rsid w:val="00682C12"/>
    <w:rsid w:val="00682CD3"/>
    <w:rsid w:val="00682EF6"/>
    <w:rsid w:val="00683143"/>
    <w:rsid w:val="00683C33"/>
    <w:rsid w:val="006849A9"/>
    <w:rsid w:val="00684A45"/>
    <w:rsid w:val="0068558B"/>
    <w:rsid w:val="00686A8F"/>
    <w:rsid w:val="0068770F"/>
    <w:rsid w:val="006879D5"/>
    <w:rsid w:val="00687C20"/>
    <w:rsid w:val="006908E9"/>
    <w:rsid w:val="00690CA3"/>
    <w:rsid w:val="00690DC2"/>
    <w:rsid w:val="00692912"/>
    <w:rsid w:val="00692A40"/>
    <w:rsid w:val="00692C4F"/>
    <w:rsid w:val="00693812"/>
    <w:rsid w:val="00694C0D"/>
    <w:rsid w:val="006950B4"/>
    <w:rsid w:val="00696594"/>
    <w:rsid w:val="0069662B"/>
    <w:rsid w:val="00696C44"/>
    <w:rsid w:val="00697230"/>
    <w:rsid w:val="00697363"/>
    <w:rsid w:val="0069747A"/>
    <w:rsid w:val="00697C45"/>
    <w:rsid w:val="006A09A0"/>
    <w:rsid w:val="006A14B3"/>
    <w:rsid w:val="006A1D90"/>
    <w:rsid w:val="006A2277"/>
    <w:rsid w:val="006A286B"/>
    <w:rsid w:val="006A364C"/>
    <w:rsid w:val="006A3760"/>
    <w:rsid w:val="006A3A73"/>
    <w:rsid w:val="006A402F"/>
    <w:rsid w:val="006A4A97"/>
    <w:rsid w:val="006A59D0"/>
    <w:rsid w:val="006A6C05"/>
    <w:rsid w:val="006A70D4"/>
    <w:rsid w:val="006A7D16"/>
    <w:rsid w:val="006A7F35"/>
    <w:rsid w:val="006B06E7"/>
    <w:rsid w:val="006B06F4"/>
    <w:rsid w:val="006B0A2C"/>
    <w:rsid w:val="006B242A"/>
    <w:rsid w:val="006B35CA"/>
    <w:rsid w:val="006B3CAF"/>
    <w:rsid w:val="006B5667"/>
    <w:rsid w:val="006B5B9B"/>
    <w:rsid w:val="006B6323"/>
    <w:rsid w:val="006B6CC6"/>
    <w:rsid w:val="006B7892"/>
    <w:rsid w:val="006C015A"/>
    <w:rsid w:val="006C0D96"/>
    <w:rsid w:val="006C0F54"/>
    <w:rsid w:val="006C1167"/>
    <w:rsid w:val="006C18CD"/>
    <w:rsid w:val="006C1A16"/>
    <w:rsid w:val="006C1A6C"/>
    <w:rsid w:val="006C1D02"/>
    <w:rsid w:val="006C2098"/>
    <w:rsid w:val="006C2A0D"/>
    <w:rsid w:val="006C2A15"/>
    <w:rsid w:val="006C3163"/>
    <w:rsid w:val="006C33D2"/>
    <w:rsid w:val="006C3A4F"/>
    <w:rsid w:val="006C441F"/>
    <w:rsid w:val="006C484B"/>
    <w:rsid w:val="006C5D5B"/>
    <w:rsid w:val="006C6C0A"/>
    <w:rsid w:val="006C6D83"/>
    <w:rsid w:val="006C703E"/>
    <w:rsid w:val="006C7293"/>
    <w:rsid w:val="006C7570"/>
    <w:rsid w:val="006C7BC0"/>
    <w:rsid w:val="006C7EE2"/>
    <w:rsid w:val="006D0F7F"/>
    <w:rsid w:val="006D10C8"/>
    <w:rsid w:val="006D11EB"/>
    <w:rsid w:val="006D13B8"/>
    <w:rsid w:val="006D19F3"/>
    <w:rsid w:val="006D3885"/>
    <w:rsid w:val="006D3ADE"/>
    <w:rsid w:val="006D4344"/>
    <w:rsid w:val="006D440D"/>
    <w:rsid w:val="006D449A"/>
    <w:rsid w:val="006D46E6"/>
    <w:rsid w:val="006D62D5"/>
    <w:rsid w:val="006D662B"/>
    <w:rsid w:val="006D6E14"/>
    <w:rsid w:val="006D6E72"/>
    <w:rsid w:val="006E0320"/>
    <w:rsid w:val="006E08E5"/>
    <w:rsid w:val="006E0CB7"/>
    <w:rsid w:val="006E0D2E"/>
    <w:rsid w:val="006E14C2"/>
    <w:rsid w:val="006E154C"/>
    <w:rsid w:val="006E1F12"/>
    <w:rsid w:val="006E2050"/>
    <w:rsid w:val="006E2664"/>
    <w:rsid w:val="006E36D1"/>
    <w:rsid w:val="006E388A"/>
    <w:rsid w:val="006E3942"/>
    <w:rsid w:val="006E4C60"/>
    <w:rsid w:val="006E5BEA"/>
    <w:rsid w:val="006E6704"/>
    <w:rsid w:val="006E68B7"/>
    <w:rsid w:val="006E6C03"/>
    <w:rsid w:val="006E7D1E"/>
    <w:rsid w:val="006F05C1"/>
    <w:rsid w:val="006F07F6"/>
    <w:rsid w:val="006F1203"/>
    <w:rsid w:val="006F1269"/>
    <w:rsid w:val="006F133D"/>
    <w:rsid w:val="006F1B53"/>
    <w:rsid w:val="006F2295"/>
    <w:rsid w:val="006F481E"/>
    <w:rsid w:val="006F4AC2"/>
    <w:rsid w:val="006F600A"/>
    <w:rsid w:val="006F627C"/>
    <w:rsid w:val="006F7786"/>
    <w:rsid w:val="006F779C"/>
    <w:rsid w:val="0070033C"/>
    <w:rsid w:val="007005EC"/>
    <w:rsid w:val="00700EB5"/>
    <w:rsid w:val="00700F27"/>
    <w:rsid w:val="00700F41"/>
    <w:rsid w:val="00702127"/>
    <w:rsid w:val="00702535"/>
    <w:rsid w:val="0070293E"/>
    <w:rsid w:val="00702DAE"/>
    <w:rsid w:val="00703558"/>
    <w:rsid w:val="00703BBC"/>
    <w:rsid w:val="00704572"/>
    <w:rsid w:val="007048D3"/>
    <w:rsid w:val="0070557D"/>
    <w:rsid w:val="00705982"/>
    <w:rsid w:val="00705DDB"/>
    <w:rsid w:val="007067CE"/>
    <w:rsid w:val="00706CD3"/>
    <w:rsid w:val="00706F7A"/>
    <w:rsid w:val="007077F1"/>
    <w:rsid w:val="00707FDF"/>
    <w:rsid w:val="00711375"/>
    <w:rsid w:val="00711714"/>
    <w:rsid w:val="00711803"/>
    <w:rsid w:val="00711FE1"/>
    <w:rsid w:val="0071297A"/>
    <w:rsid w:val="00713969"/>
    <w:rsid w:val="00713998"/>
    <w:rsid w:val="0071407D"/>
    <w:rsid w:val="00714619"/>
    <w:rsid w:val="007146AC"/>
    <w:rsid w:val="00715253"/>
    <w:rsid w:val="00716141"/>
    <w:rsid w:val="007162BC"/>
    <w:rsid w:val="00716E1C"/>
    <w:rsid w:val="00716EA8"/>
    <w:rsid w:val="00717860"/>
    <w:rsid w:val="00717BC9"/>
    <w:rsid w:val="00722772"/>
    <w:rsid w:val="00722D6F"/>
    <w:rsid w:val="007233B7"/>
    <w:rsid w:val="00723B69"/>
    <w:rsid w:val="00724406"/>
    <w:rsid w:val="007267B2"/>
    <w:rsid w:val="00726B75"/>
    <w:rsid w:val="0072722A"/>
    <w:rsid w:val="00727F99"/>
    <w:rsid w:val="007306DC"/>
    <w:rsid w:val="0073245F"/>
    <w:rsid w:val="007331BA"/>
    <w:rsid w:val="007331D5"/>
    <w:rsid w:val="00733712"/>
    <w:rsid w:val="00734267"/>
    <w:rsid w:val="0073428C"/>
    <w:rsid w:val="00734395"/>
    <w:rsid w:val="007343B7"/>
    <w:rsid w:val="007343CF"/>
    <w:rsid w:val="00734564"/>
    <w:rsid w:val="00734951"/>
    <w:rsid w:val="00734E69"/>
    <w:rsid w:val="00735355"/>
    <w:rsid w:val="00735C8C"/>
    <w:rsid w:val="00736081"/>
    <w:rsid w:val="00736352"/>
    <w:rsid w:val="00736692"/>
    <w:rsid w:val="00737C28"/>
    <w:rsid w:val="00737D1A"/>
    <w:rsid w:val="007402D6"/>
    <w:rsid w:val="007422C2"/>
    <w:rsid w:val="007424F2"/>
    <w:rsid w:val="007428AC"/>
    <w:rsid w:val="00742B63"/>
    <w:rsid w:val="00742F3E"/>
    <w:rsid w:val="007430DA"/>
    <w:rsid w:val="00743649"/>
    <w:rsid w:val="00743A44"/>
    <w:rsid w:val="00743A84"/>
    <w:rsid w:val="00743CAF"/>
    <w:rsid w:val="00743E74"/>
    <w:rsid w:val="00743FFA"/>
    <w:rsid w:val="00745834"/>
    <w:rsid w:val="00745C52"/>
    <w:rsid w:val="00746900"/>
    <w:rsid w:val="00746DE2"/>
    <w:rsid w:val="00746FF1"/>
    <w:rsid w:val="007478E7"/>
    <w:rsid w:val="00747A66"/>
    <w:rsid w:val="00747BEA"/>
    <w:rsid w:val="00750488"/>
    <w:rsid w:val="0075062B"/>
    <w:rsid w:val="0075095B"/>
    <w:rsid w:val="00751313"/>
    <w:rsid w:val="00751DAE"/>
    <w:rsid w:val="00752BF8"/>
    <w:rsid w:val="00752FE1"/>
    <w:rsid w:val="0075318D"/>
    <w:rsid w:val="007531E6"/>
    <w:rsid w:val="00753244"/>
    <w:rsid w:val="0075345E"/>
    <w:rsid w:val="0075353D"/>
    <w:rsid w:val="0075390A"/>
    <w:rsid w:val="0075401F"/>
    <w:rsid w:val="007540B6"/>
    <w:rsid w:val="00755405"/>
    <w:rsid w:val="00755FD9"/>
    <w:rsid w:val="00756521"/>
    <w:rsid w:val="00756972"/>
    <w:rsid w:val="00757116"/>
    <w:rsid w:val="00757CAA"/>
    <w:rsid w:val="00757D6E"/>
    <w:rsid w:val="00760B0A"/>
    <w:rsid w:val="00761341"/>
    <w:rsid w:val="00761572"/>
    <w:rsid w:val="007618C9"/>
    <w:rsid w:val="00762242"/>
    <w:rsid w:val="00762381"/>
    <w:rsid w:val="00762CFC"/>
    <w:rsid w:val="00763BD2"/>
    <w:rsid w:val="0076436D"/>
    <w:rsid w:val="0076445F"/>
    <w:rsid w:val="00765869"/>
    <w:rsid w:val="00765EA3"/>
    <w:rsid w:val="00767F61"/>
    <w:rsid w:val="007701F2"/>
    <w:rsid w:val="00770A05"/>
    <w:rsid w:val="00770A51"/>
    <w:rsid w:val="00771270"/>
    <w:rsid w:val="00771D44"/>
    <w:rsid w:val="00772EA4"/>
    <w:rsid w:val="007736EF"/>
    <w:rsid w:val="0077483B"/>
    <w:rsid w:val="0077522C"/>
    <w:rsid w:val="007753D5"/>
    <w:rsid w:val="00775B21"/>
    <w:rsid w:val="0077658D"/>
    <w:rsid w:val="0077667B"/>
    <w:rsid w:val="00776684"/>
    <w:rsid w:val="00777487"/>
    <w:rsid w:val="00777E32"/>
    <w:rsid w:val="0078109E"/>
    <w:rsid w:val="00781207"/>
    <w:rsid w:val="0078132C"/>
    <w:rsid w:val="00781569"/>
    <w:rsid w:val="00781C8E"/>
    <w:rsid w:val="00781F8C"/>
    <w:rsid w:val="0078238A"/>
    <w:rsid w:val="00782692"/>
    <w:rsid w:val="007826AE"/>
    <w:rsid w:val="00782D3A"/>
    <w:rsid w:val="00783C29"/>
    <w:rsid w:val="007844E8"/>
    <w:rsid w:val="00785B0E"/>
    <w:rsid w:val="00785CFF"/>
    <w:rsid w:val="00786BF6"/>
    <w:rsid w:val="00786CED"/>
    <w:rsid w:val="00786D19"/>
    <w:rsid w:val="00790F51"/>
    <w:rsid w:val="00792246"/>
    <w:rsid w:val="00792C9D"/>
    <w:rsid w:val="00793243"/>
    <w:rsid w:val="00793370"/>
    <w:rsid w:val="0079454B"/>
    <w:rsid w:val="00795389"/>
    <w:rsid w:val="007964C5"/>
    <w:rsid w:val="007979AD"/>
    <w:rsid w:val="007A015F"/>
    <w:rsid w:val="007A01F2"/>
    <w:rsid w:val="007A05F5"/>
    <w:rsid w:val="007A08D1"/>
    <w:rsid w:val="007A103F"/>
    <w:rsid w:val="007A24FF"/>
    <w:rsid w:val="007A2786"/>
    <w:rsid w:val="007A3682"/>
    <w:rsid w:val="007A3868"/>
    <w:rsid w:val="007A3B00"/>
    <w:rsid w:val="007A44D5"/>
    <w:rsid w:val="007A6B08"/>
    <w:rsid w:val="007A742A"/>
    <w:rsid w:val="007B106F"/>
    <w:rsid w:val="007B1131"/>
    <w:rsid w:val="007B155F"/>
    <w:rsid w:val="007B1D71"/>
    <w:rsid w:val="007B2284"/>
    <w:rsid w:val="007B2766"/>
    <w:rsid w:val="007B4D4F"/>
    <w:rsid w:val="007B5B3A"/>
    <w:rsid w:val="007B5DE0"/>
    <w:rsid w:val="007B669F"/>
    <w:rsid w:val="007B77C5"/>
    <w:rsid w:val="007C071A"/>
    <w:rsid w:val="007C11AE"/>
    <w:rsid w:val="007C11F9"/>
    <w:rsid w:val="007C180F"/>
    <w:rsid w:val="007C1D0E"/>
    <w:rsid w:val="007C267E"/>
    <w:rsid w:val="007C2E69"/>
    <w:rsid w:val="007C39DE"/>
    <w:rsid w:val="007C423A"/>
    <w:rsid w:val="007C44DD"/>
    <w:rsid w:val="007C4D1B"/>
    <w:rsid w:val="007C4EF4"/>
    <w:rsid w:val="007C53C4"/>
    <w:rsid w:val="007C5D9C"/>
    <w:rsid w:val="007C5DDB"/>
    <w:rsid w:val="007C6B86"/>
    <w:rsid w:val="007C70CB"/>
    <w:rsid w:val="007C7E88"/>
    <w:rsid w:val="007D0337"/>
    <w:rsid w:val="007D04B6"/>
    <w:rsid w:val="007D0DF1"/>
    <w:rsid w:val="007D2FFA"/>
    <w:rsid w:val="007D381E"/>
    <w:rsid w:val="007D3A34"/>
    <w:rsid w:val="007D3FD0"/>
    <w:rsid w:val="007D43B2"/>
    <w:rsid w:val="007D5085"/>
    <w:rsid w:val="007D55DB"/>
    <w:rsid w:val="007D5EF8"/>
    <w:rsid w:val="007D5F8D"/>
    <w:rsid w:val="007D65DF"/>
    <w:rsid w:val="007D6670"/>
    <w:rsid w:val="007D6893"/>
    <w:rsid w:val="007D6ABB"/>
    <w:rsid w:val="007D7B54"/>
    <w:rsid w:val="007E03A3"/>
    <w:rsid w:val="007E07F8"/>
    <w:rsid w:val="007E08F0"/>
    <w:rsid w:val="007E08F5"/>
    <w:rsid w:val="007E12F2"/>
    <w:rsid w:val="007E137C"/>
    <w:rsid w:val="007E2048"/>
    <w:rsid w:val="007E26F3"/>
    <w:rsid w:val="007E3239"/>
    <w:rsid w:val="007E3FC7"/>
    <w:rsid w:val="007E58A7"/>
    <w:rsid w:val="007E58DE"/>
    <w:rsid w:val="007E6828"/>
    <w:rsid w:val="007E6BD5"/>
    <w:rsid w:val="007E72BE"/>
    <w:rsid w:val="007E731B"/>
    <w:rsid w:val="007F0097"/>
    <w:rsid w:val="007F0E14"/>
    <w:rsid w:val="007F1E80"/>
    <w:rsid w:val="007F4436"/>
    <w:rsid w:val="007F4B11"/>
    <w:rsid w:val="007F57BB"/>
    <w:rsid w:val="007F57E0"/>
    <w:rsid w:val="007F645B"/>
    <w:rsid w:val="007F67CF"/>
    <w:rsid w:val="007F6977"/>
    <w:rsid w:val="007F6BDF"/>
    <w:rsid w:val="007F6CB0"/>
    <w:rsid w:val="007F75F9"/>
    <w:rsid w:val="007F7721"/>
    <w:rsid w:val="007F7B97"/>
    <w:rsid w:val="00800030"/>
    <w:rsid w:val="00800056"/>
    <w:rsid w:val="0080060E"/>
    <w:rsid w:val="0080148D"/>
    <w:rsid w:val="00802123"/>
    <w:rsid w:val="0080215C"/>
    <w:rsid w:val="008032BB"/>
    <w:rsid w:val="0080480E"/>
    <w:rsid w:val="00804968"/>
    <w:rsid w:val="00804AEF"/>
    <w:rsid w:val="00805028"/>
    <w:rsid w:val="00805A96"/>
    <w:rsid w:val="008061C6"/>
    <w:rsid w:val="00806E83"/>
    <w:rsid w:val="00807B3A"/>
    <w:rsid w:val="00810056"/>
    <w:rsid w:val="00810578"/>
    <w:rsid w:val="00810BFE"/>
    <w:rsid w:val="00810F3C"/>
    <w:rsid w:val="0081153C"/>
    <w:rsid w:val="00812658"/>
    <w:rsid w:val="0081272C"/>
    <w:rsid w:val="008129CF"/>
    <w:rsid w:val="00812AA9"/>
    <w:rsid w:val="00812E8D"/>
    <w:rsid w:val="0081351A"/>
    <w:rsid w:val="00813CD8"/>
    <w:rsid w:val="0081520D"/>
    <w:rsid w:val="0081750E"/>
    <w:rsid w:val="0081776B"/>
    <w:rsid w:val="00817E1A"/>
    <w:rsid w:val="00820197"/>
    <w:rsid w:val="00821A10"/>
    <w:rsid w:val="0082200D"/>
    <w:rsid w:val="00823298"/>
    <w:rsid w:val="008236BD"/>
    <w:rsid w:val="0082371D"/>
    <w:rsid w:val="00823FC4"/>
    <w:rsid w:val="00824863"/>
    <w:rsid w:val="00824C10"/>
    <w:rsid w:val="008265E8"/>
    <w:rsid w:val="00826DF4"/>
    <w:rsid w:val="00827B82"/>
    <w:rsid w:val="008304B2"/>
    <w:rsid w:val="008304EE"/>
    <w:rsid w:val="008316DD"/>
    <w:rsid w:val="00831A3D"/>
    <w:rsid w:val="0083217E"/>
    <w:rsid w:val="00832872"/>
    <w:rsid w:val="008329A5"/>
    <w:rsid w:val="008336C5"/>
    <w:rsid w:val="00834234"/>
    <w:rsid w:val="00834284"/>
    <w:rsid w:val="00834CE5"/>
    <w:rsid w:val="0083555E"/>
    <w:rsid w:val="00835AB5"/>
    <w:rsid w:val="0083613C"/>
    <w:rsid w:val="008362B6"/>
    <w:rsid w:val="008365A2"/>
    <w:rsid w:val="00837462"/>
    <w:rsid w:val="00837DFA"/>
    <w:rsid w:val="008422FC"/>
    <w:rsid w:val="008423C6"/>
    <w:rsid w:val="00842E36"/>
    <w:rsid w:val="00843AF1"/>
    <w:rsid w:val="00844556"/>
    <w:rsid w:val="00844BCF"/>
    <w:rsid w:val="008461CE"/>
    <w:rsid w:val="00846B75"/>
    <w:rsid w:val="00847B69"/>
    <w:rsid w:val="0085028E"/>
    <w:rsid w:val="00851CA4"/>
    <w:rsid w:val="00851CDF"/>
    <w:rsid w:val="00852297"/>
    <w:rsid w:val="00852382"/>
    <w:rsid w:val="0085271D"/>
    <w:rsid w:val="00853ADE"/>
    <w:rsid w:val="00855C4E"/>
    <w:rsid w:val="00856920"/>
    <w:rsid w:val="00857306"/>
    <w:rsid w:val="008576BF"/>
    <w:rsid w:val="00860888"/>
    <w:rsid w:val="008612B3"/>
    <w:rsid w:val="00861F29"/>
    <w:rsid w:val="00862AB1"/>
    <w:rsid w:val="0086343B"/>
    <w:rsid w:val="008637E9"/>
    <w:rsid w:val="00864A38"/>
    <w:rsid w:val="0086500D"/>
    <w:rsid w:val="00865302"/>
    <w:rsid w:val="0086618A"/>
    <w:rsid w:val="00866836"/>
    <w:rsid w:val="00867721"/>
    <w:rsid w:val="00867B54"/>
    <w:rsid w:val="008715BD"/>
    <w:rsid w:val="00871863"/>
    <w:rsid w:val="00871972"/>
    <w:rsid w:val="00871DD4"/>
    <w:rsid w:val="00872007"/>
    <w:rsid w:val="0087258B"/>
    <w:rsid w:val="008729D8"/>
    <w:rsid w:val="008729F7"/>
    <w:rsid w:val="0087334D"/>
    <w:rsid w:val="00873568"/>
    <w:rsid w:val="00873F86"/>
    <w:rsid w:val="008745FB"/>
    <w:rsid w:val="008749FC"/>
    <w:rsid w:val="00874D54"/>
    <w:rsid w:val="00874E4D"/>
    <w:rsid w:val="00875253"/>
    <w:rsid w:val="008758B8"/>
    <w:rsid w:val="008758F2"/>
    <w:rsid w:val="00875F8B"/>
    <w:rsid w:val="008760F6"/>
    <w:rsid w:val="00876690"/>
    <w:rsid w:val="00876CFC"/>
    <w:rsid w:val="0087733B"/>
    <w:rsid w:val="0087743C"/>
    <w:rsid w:val="00880A00"/>
    <w:rsid w:val="00880AAB"/>
    <w:rsid w:val="008811C2"/>
    <w:rsid w:val="00881A5E"/>
    <w:rsid w:val="00881CE1"/>
    <w:rsid w:val="00881E0E"/>
    <w:rsid w:val="0088282E"/>
    <w:rsid w:val="00883521"/>
    <w:rsid w:val="00883FE1"/>
    <w:rsid w:val="00884A95"/>
    <w:rsid w:val="00884B89"/>
    <w:rsid w:val="008860AB"/>
    <w:rsid w:val="008866BE"/>
    <w:rsid w:val="008866C4"/>
    <w:rsid w:val="008872D1"/>
    <w:rsid w:val="008873CF"/>
    <w:rsid w:val="00887913"/>
    <w:rsid w:val="00887E52"/>
    <w:rsid w:val="008900AC"/>
    <w:rsid w:val="008900C2"/>
    <w:rsid w:val="00891503"/>
    <w:rsid w:val="0089212B"/>
    <w:rsid w:val="008922B2"/>
    <w:rsid w:val="0089276B"/>
    <w:rsid w:val="00893E56"/>
    <w:rsid w:val="008951F0"/>
    <w:rsid w:val="0089577D"/>
    <w:rsid w:val="00895EAE"/>
    <w:rsid w:val="00896019"/>
    <w:rsid w:val="00896265"/>
    <w:rsid w:val="008A04DE"/>
    <w:rsid w:val="008A073E"/>
    <w:rsid w:val="008A07B3"/>
    <w:rsid w:val="008A0EA9"/>
    <w:rsid w:val="008A11BF"/>
    <w:rsid w:val="008A1472"/>
    <w:rsid w:val="008A1A7C"/>
    <w:rsid w:val="008A2386"/>
    <w:rsid w:val="008A2522"/>
    <w:rsid w:val="008A277D"/>
    <w:rsid w:val="008A2954"/>
    <w:rsid w:val="008A37D4"/>
    <w:rsid w:val="008A43D9"/>
    <w:rsid w:val="008A52A7"/>
    <w:rsid w:val="008A5328"/>
    <w:rsid w:val="008A56CE"/>
    <w:rsid w:val="008A5896"/>
    <w:rsid w:val="008A6470"/>
    <w:rsid w:val="008A6841"/>
    <w:rsid w:val="008A6842"/>
    <w:rsid w:val="008A69AD"/>
    <w:rsid w:val="008A6C7B"/>
    <w:rsid w:val="008B0412"/>
    <w:rsid w:val="008B25E8"/>
    <w:rsid w:val="008B3862"/>
    <w:rsid w:val="008B3B60"/>
    <w:rsid w:val="008B426E"/>
    <w:rsid w:val="008B4D50"/>
    <w:rsid w:val="008B4E7F"/>
    <w:rsid w:val="008B5008"/>
    <w:rsid w:val="008B575C"/>
    <w:rsid w:val="008B7012"/>
    <w:rsid w:val="008C0FFC"/>
    <w:rsid w:val="008C1480"/>
    <w:rsid w:val="008C332D"/>
    <w:rsid w:val="008C46C1"/>
    <w:rsid w:val="008C5F7A"/>
    <w:rsid w:val="008C7908"/>
    <w:rsid w:val="008C7D4D"/>
    <w:rsid w:val="008D04E9"/>
    <w:rsid w:val="008D0555"/>
    <w:rsid w:val="008D0631"/>
    <w:rsid w:val="008D0C90"/>
    <w:rsid w:val="008D10F3"/>
    <w:rsid w:val="008D1666"/>
    <w:rsid w:val="008D21FF"/>
    <w:rsid w:val="008D25AD"/>
    <w:rsid w:val="008D3998"/>
    <w:rsid w:val="008D4040"/>
    <w:rsid w:val="008D4E91"/>
    <w:rsid w:val="008D5DB2"/>
    <w:rsid w:val="008D636F"/>
    <w:rsid w:val="008D6507"/>
    <w:rsid w:val="008D75C0"/>
    <w:rsid w:val="008E0478"/>
    <w:rsid w:val="008E06FD"/>
    <w:rsid w:val="008E0A95"/>
    <w:rsid w:val="008E18A6"/>
    <w:rsid w:val="008E1BEB"/>
    <w:rsid w:val="008E1D00"/>
    <w:rsid w:val="008E1E0F"/>
    <w:rsid w:val="008E1ED7"/>
    <w:rsid w:val="008E2187"/>
    <w:rsid w:val="008E2285"/>
    <w:rsid w:val="008E295A"/>
    <w:rsid w:val="008E2A19"/>
    <w:rsid w:val="008E599A"/>
    <w:rsid w:val="008E5E15"/>
    <w:rsid w:val="008E61B7"/>
    <w:rsid w:val="008E67C7"/>
    <w:rsid w:val="008E6CC3"/>
    <w:rsid w:val="008E7378"/>
    <w:rsid w:val="008E76BA"/>
    <w:rsid w:val="008E7C31"/>
    <w:rsid w:val="008E7F41"/>
    <w:rsid w:val="008F02B8"/>
    <w:rsid w:val="008F0769"/>
    <w:rsid w:val="008F0B8B"/>
    <w:rsid w:val="008F102E"/>
    <w:rsid w:val="008F1344"/>
    <w:rsid w:val="008F134F"/>
    <w:rsid w:val="008F1638"/>
    <w:rsid w:val="008F1F89"/>
    <w:rsid w:val="008F2EB4"/>
    <w:rsid w:val="008F35E4"/>
    <w:rsid w:val="008F41F4"/>
    <w:rsid w:val="008F422C"/>
    <w:rsid w:val="008F4325"/>
    <w:rsid w:val="008F495F"/>
    <w:rsid w:val="008F5A00"/>
    <w:rsid w:val="008F65AE"/>
    <w:rsid w:val="008F6CA0"/>
    <w:rsid w:val="008F6EF3"/>
    <w:rsid w:val="008F7143"/>
    <w:rsid w:val="008F75A7"/>
    <w:rsid w:val="008F7D3E"/>
    <w:rsid w:val="0090029C"/>
    <w:rsid w:val="009008B4"/>
    <w:rsid w:val="0090101C"/>
    <w:rsid w:val="009016B5"/>
    <w:rsid w:val="00901BBA"/>
    <w:rsid w:val="00902005"/>
    <w:rsid w:val="009027FC"/>
    <w:rsid w:val="00902AF0"/>
    <w:rsid w:val="009035BD"/>
    <w:rsid w:val="00903A62"/>
    <w:rsid w:val="00903FC3"/>
    <w:rsid w:val="00904893"/>
    <w:rsid w:val="0090494E"/>
    <w:rsid w:val="00904CE8"/>
    <w:rsid w:val="00904D0E"/>
    <w:rsid w:val="00905275"/>
    <w:rsid w:val="009052CE"/>
    <w:rsid w:val="0090563A"/>
    <w:rsid w:val="00905971"/>
    <w:rsid w:val="009064F6"/>
    <w:rsid w:val="00906F13"/>
    <w:rsid w:val="00907A98"/>
    <w:rsid w:val="0091046A"/>
    <w:rsid w:val="009104B3"/>
    <w:rsid w:val="0091172A"/>
    <w:rsid w:val="00911A46"/>
    <w:rsid w:val="00911D2D"/>
    <w:rsid w:val="009122DF"/>
    <w:rsid w:val="0091231B"/>
    <w:rsid w:val="009130B5"/>
    <w:rsid w:val="009130C9"/>
    <w:rsid w:val="0091449F"/>
    <w:rsid w:val="009146CD"/>
    <w:rsid w:val="009155FF"/>
    <w:rsid w:val="00916801"/>
    <w:rsid w:val="00916CB9"/>
    <w:rsid w:val="009176C9"/>
    <w:rsid w:val="00920649"/>
    <w:rsid w:val="00920B3F"/>
    <w:rsid w:val="00920EE2"/>
    <w:rsid w:val="0092146B"/>
    <w:rsid w:val="00922085"/>
    <w:rsid w:val="009226E2"/>
    <w:rsid w:val="00922757"/>
    <w:rsid w:val="0092308F"/>
    <w:rsid w:val="0092433D"/>
    <w:rsid w:val="00924497"/>
    <w:rsid w:val="009244AC"/>
    <w:rsid w:val="00924DAE"/>
    <w:rsid w:val="00925179"/>
    <w:rsid w:val="009258C1"/>
    <w:rsid w:val="00926264"/>
    <w:rsid w:val="009262D2"/>
    <w:rsid w:val="00926411"/>
    <w:rsid w:val="009266F8"/>
    <w:rsid w:val="00926760"/>
    <w:rsid w:val="00930437"/>
    <w:rsid w:val="00930776"/>
    <w:rsid w:val="00930D98"/>
    <w:rsid w:val="00931332"/>
    <w:rsid w:val="00931479"/>
    <w:rsid w:val="00931CE5"/>
    <w:rsid w:val="0093394F"/>
    <w:rsid w:val="00934133"/>
    <w:rsid w:val="009343D9"/>
    <w:rsid w:val="00934704"/>
    <w:rsid w:val="00934B2B"/>
    <w:rsid w:val="00934F89"/>
    <w:rsid w:val="0093516B"/>
    <w:rsid w:val="00935AB8"/>
    <w:rsid w:val="00935C7E"/>
    <w:rsid w:val="00935C99"/>
    <w:rsid w:val="00936E03"/>
    <w:rsid w:val="0093742A"/>
    <w:rsid w:val="00937541"/>
    <w:rsid w:val="009376BF"/>
    <w:rsid w:val="009378C3"/>
    <w:rsid w:val="00937910"/>
    <w:rsid w:val="00937E28"/>
    <w:rsid w:val="009403D7"/>
    <w:rsid w:val="00940722"/>
    <w:rsid w:val="0094095A"/>
    <w:rsid w:val="00941336"/>
    <w:rsid w:val="009429FF"/>
    <w:rsid w:val="00942CA2"/>
    <w:rsid w:val="00943A1E"/>
    <w:rsid w:val="009446F7"/>
    <w:rsid w:val="00944C6B"/>
    <w:rsid w:val="00946D06"/>
    <w:rsid w:val="00951323"/>
    <w:rsid w:val="0095178C"/>
    <w:rsid w:val="0095201A"/>
    <w:rsid w:val="00952B44"/>
    <w:rsid w:val="0095385C"/>
    <w:rsid w:val="00953A09"/>
    <w:rsid w:val="00956638"/>
    <w:rsid w:val="00956CDF"/>
    <w:rsid w:val="0095733D"/>
    <w:rsid w:val="00957350"/>
    <w:rsid w:val="00957E63"/>
    <w:rsid w:val="00957F49"/>
    <w:rsid w:val="00960CDF"/>
    <w:rsid w:val="00960CFA"/>
    <w:rsid w:val="0096174C"/>
    <w:rsid w:val="00962390"/>
    <w:rsid w:val="009629A8"/>
    <w:rsid w:val="0096384D"/>
    <w:rsid w:val="00963B15"/>
    <w:rsid w:val="00963C53"/>
    <w:rsid w:val="009643AA"/>
    <w:rsid w:val="00964763"/>
    <w:rsid w:val="009648D0"/>
    <w:rsid w:val="00965692"/>
    <w:rsid w:val="00966465"/>
    <w:rsid w:val="00966758"/>
    <w:rsid w:val="009717C5"/>
    <w:rsid w:val="00971A24"/>
    <w:rsid w:val="00972061"/>
    <w:rsid w:val="009726A8"/>
    <w:rsid w:val="0097274C"/>
    <w:rsid w:val="009733B6"/>
    <w:rsid w:val="009736D1"/>
    <w:rsid w:val="00973A4D"/>
    <w:rsid w:val="00974152"/>
    <w:rsid w:val="00974DBE"/>
    <w:rsid w:val="0097547B"/>
    <w:rsid w:val="0097622A"/>
    <w:rsid w:val="009764D2"/>
    <w:rsid w:val="00976EE4"/>
    <w:rsid w:val="00976F45"/>
    <w:rsid w:val="00977529"/>
    <w:rsid w:val="0097784F"/>
    <w:rsid w:val="00977936"/>
    <w:rsid w:val="00977C91"/>
    <w:rsid w:val="00980F4B"/>
    <w:rsid w:val="00980F92"/>
    <w:rsid w:val="00982D47"/>
    <w:rsid w:val="0098346A"/>
    <w:rsid w:val="00983DB8"/>
    <w:rsid w:val="00984B3C"/>
    <w:rsid w:val="009850EB"/>
    <w:rsid w:val="00985870"/>
    <w:rsid w:val="0098643E"/>
    <w:rsid w:val="00986BF1"/>
    <w:rsid w:val="00986E25"/>
    <w:rsid w:val="00986FD3"/>
    <w:rsid w:val="009873C5"/>
    <w:rsid w:val="00990817"/>
    <w:rsid w:val="0099138C"/>
    <w:rsid w:val="00991582"/>
    <w:rsid w:val="00992926"/>
    <w:rsid w:val="00992D37"/>
    <w:rsid w:val="00993AA4"/>
    <w:rsid w:val="00994047"/>
    <w:rsid w:val="00994613"/>
    <w:rsid w:val="00994776"/>
    <w:rsid w:val="0099481D"/>
    <w:rsid w:val="00994A01"/>
    <w:rsid w:val="00994A57"/>
    <w:rsid w:val="00994FFC"/>
    <w:rsid w:val="0099559D"/>
    <w:rsid w:val="00995A53"/>
    <w:rsid w:val="0099613E"/>
    <w:rsid w:val="0099673B"/>
    <w:rsid w:val="00996EC8"/>
    <w:rsid w:val="009972D3"/>
    <w:rsid w:val="009A0728"/>
    <w:rsid w:val="009A0BEF"/>
    <w:rsid w:val="009A14DC"/>
    <w:rsid w:val="009A2140"/>
    <w:rsid w:val="009A2461"/>
    <w:rsid w:val="009A326B"/>
    <w:rsid w:val="009A55CC"/>
    <w:rsid w:val="009A5B35"/>
    <w:rsid w:val="009A5F45"/>
    <w:rsid w:val="009A6985"/>
    <w:rsid w:val="009A6D04"/>
    <w:rsid w:val="009A6F88"/>
    <w:rsid w:val="009A7ADC"/>
    <w:rsid w:val="009A7BD1"/>
    <w:rsid w:val="009B1BD6"/>
    <w:rsid w:val="009B2576"/>
    <w:rsid w:val="009B2C0B"/>
    <w:rsid w:val="009B2C87"/>
    <w:rsid w:val="009B3634"/>
    <w:rsid w:val="009B43BC"/>
    <w:rsid w:val="009B4489"/>
    <w:rsid w:val="009B45DA"/>
    <w:rsid w:val="009B4A5B"/>
    <w:rsid w:val="009B4B4B"/>
    <w:rsid w:val="009B4D5F"/>
    <w:rsid w:val="009B50C0"/>
    <w:rsid w:val="009B534B"/>
    <w:rsid w:val="009B5C7E"/>
    <w:rsid w:val="009B61FE"/>
    <w:rsid w:val="009B6567"/>
    <w:rsid w:val="009B6C92"/>
    <w:rsid w:val="009B7607"/>
    <w:rsid w:val="009C0635"/>
    <w:rsid w:val="009C26D6"/>
    <w:rsid w:val="009C3C72"/>
    <w:rsid w:val="009C3D15"/>
    <w:rsid w:val="009C3E4E"/>
    <w:rsid w:val="009C40F7"/>
    <w:rsid w:val="009C42A5"/>
    <w:rsid w:val="009C4BA6"/>
    <w:rsid w:val="009C5E56"/>
    <w:rsid w:val="009C5E70"/>
    <w:rsid w:val="009C6045"/>
    <w:rsid w:val="009C7133"/>
    <w:rsid w:val="009C78B5"/>
    <w:rsid w:val="009D0A91"/>
    <w:rsid w:val="009D143D"/>
    <w:rsid w:val="009D2502"/>
    <w:rsid w:val="009D2B16"/>
    <w:rsid w:val="009D2FFC"/>
    <w:rsid w:val="009D3AB4"/>
    <w:rsid w:val="009D4044"/>
    <w:rsid w:val="009D47D5"/>
    <w:rsid w:val="009D579A"/>
    <w:rsid w:val="009D62E8"/>
    <w:rsid w:val="009D64FC"/>
    <w:rsid w:val="009D7E64"/>
    <w:rsid w:val="009E02E7"/>
    <w:rsid w:val="009E0475"/>
    <w:rsid w:val="009E047B"/>
    <w:rsid w:val="009E0512"/>
    <w:rsid w:val="009E0BB7"/>
    <w:rsid w:val="009E1481"/>
    <w:rsid w:val="009E224B"/>
    <w:rsid w:val="009E31C2"/>
    <w:rsid w:val="009E3CE5"/>
    <w:rsid w:val="009E45B3"/>
    <w:rsid w:val="009E51E4"/>
    <w:rsid w:val="009E53DD"/>
    <w:rsid w:val="009E5550"/>
    <w:rsid w:val="009E6726"/>
    <w:rsid w:val="009E6EAB"/>
    <w:rsid w:val="009E72FB"/>
    <w:rsid w:val="009E7439"/>
    <w:rsid w:val="009E78C3"/>
    <w:rsid w:val="009E79AC"/>
    <w:rsid w:val="009F1715"/>
    <w:rsid w:val="009F2B81"/>
    <w:rsid w:val="009F2E07"/>
    <w:rsid w:val="009F35BA"/>
    <w:rsid w:val="009F4191"/>
    <w:rsid w:val="009F44A5"/>
    <w:rsid w:val="009F46F4"/>
    <w:rsid w:val="009F4B69"/>
    <w:rsid w:val="009F4C22"/>
    <w:rsid w:val="009F6138"/>
    <w:rsid w:val="009F668A"/>
    <w:rsid w:val="009F731C"/>
    <w:rsid w:val="009F7EA0"/>
    <w:rsid w:val="00A0049D"/>
    <w:rsid w:val="00A01C0A"/>
    <w:rsid w:val="00A0216A"/>
    <w:rsid w:val="00A052C0"/>
    <w:rsid w:val="00A0572C"/>
    <w:rsid w:val="00A062EE"/>
    <w:rsid w:val="00A065F4"/>
    <w:rsid w:val="00A06A04"/>
    <w:rsid w:val="00A06D9B"/>
    <w:rsid w:val="00A07531"/>
    <w:rsid w:val="00A07B4B"/>
    <w:rsid w:val="00A07EF1"/>
    <w:rsid w:val="00A108E1"/>
    <w:rsid w:val="00A110E3"/>
    <w:rsid w:val="00A11586"/>
    <w:rsid w:val="00A116ED"/>
    <w:rsid w:val="00A11CD2"/>
    <w:rsid w:val="00A135D6"/>
    <w:rsid w:val="00A13A16"/>
    <w:rsid w:val="00A13BC4"/>
    <w:rsid w:val="00A14546"/>
    <w:rsid w:val="00A14FDA"/>
    <w:rsid w:val="00A150EB"/>
    <w:rsid w:val="00A15885"/>
    <w:rsid w:val="00A15A5A"/>
    <w:rsid w:val="00A162F1"/>
    <w:rsid w:val="00A1647B"/>
    <w:rsid w:val="00A16533"/>
    <w:rsid w:val="00A16744"/>
    <w:rsid w:val="00A16C99"/>
    <w:rsid w:val="00A1781D"/>
    <w:rsid w:val="00A208D8"/>
    <w:rsid w:val="00A20E3E"/>
    <w:rsid w:val="00A21908"/>
    <w:rsid w:val="00A219DD"/>
    <w:rsid w:val="00A219E3"/>
    <w:rsid w:val="00A229F7"/>
    <w:rsid w:val="00A23294"/>
    <w:rsid w:val="00A239B1"/>
    <w:rsid w:val="00A23A0C"/>
    <w:rsid w:val="00A24DF4"/>
    <w:rsid w:val="00A25E76"/>
    <w:rsid w:val="00A26FC5"/>
    <w:rsid w:val="00A27552"/>
    <w:rsid w:val="00A27E29"/>
    <w:rsid w:val="00A31248"/>
    <w:rsid w:val="00A3165D"/>
    <w:rsid w:val="00A3187F"/>
    <w:rsid w:val="00A3199D"/>
    <w:rsid w:val="00A32107"/>
    <w:rsid w:val="00A32325"/>
    <w:rsid w:val="00A349C0"/>
    <w:rsid w:val="00A34D8A"/>
    <w:rsid w:val="00A351C5"/>
    <w:rsid w:val="00A35306"/>
    <w:rsid w:val="00A35947"/>
    <w:rsid w:val="00A359A3"/>
    <w:rsid w:val="00A36262"/>
    <w:rsid w:val="00A3659D"/>
    <w:rsid w:val="00A377E0"/>
    <w:rsid w:val="00A40559"/>
    <w:rsid w:val="00A40C30"/>
    <w:rsid w:val="00A40D83"/>
    <w:rsid w:val="00A40E08"/>
    <w:rsid w:val="00A40E3B"/>
    <w:rsid w:val="00A41F10"/>
    <w:rsid w:val="00A41F65"/>
    <w:rsid w:val="00A430D7"/>
    <w:rsid w:val="00A43703"/>
    <w:rsid w:val="00A4405C"/>
    <w:rsid w:val="00A459E1"/>
    <w:rsid w:val="00A4661C"/>
    <w:rsid w:val="00A468E2"/>
    <w:rsid w:val="00A522BA"/>
    <w:rsid w:val="00A5238C"/>
    <w:rsid w:val="00A5250E"/>
    <w:rsid w:val="00A52836"/>
    <w:rsid w:val="00A52F3E"/>
    <w:rsid w:val="00A541D6"/>
    <w:rsid w:val="00A54237"/>
    <w:rsid w:val="00A54319"/>
    <w:rsid w:val="00A54857"/>
    <w:rsid w:val="00A54B4A"/>
    <w:rsid w:val="00A564AB"/>
    <w:rsid w:val="00A56975"/>
    <w:rsid w:val="00A56C65"/>
    <w:rsid w:val="00A60DAD"/>
    <w:rsid w:val="00A61496"/>
    <w:rsid w:val="00A61C9B"/>
    <w:rsid w:val="00A62412"/>
    <w:rsid w:val="00A62D67"/>
    <w:rsid w:val="00A63347"/>
    <w:rsid w:val="00A63CC8"/>
    <w:rsid w:val="00A645B5"/>
    <w:rsid w:val="00A64BC5"/>
    <w:rsid w:val="00A64F99"/>
    <w:rsid w:val="00A65645"/>
    <w:rsid w:val="00A66234"/>
    <w:rsid w:val="00A66602"/>
    <w:rsid w:val="00A67B42"/>
    <w:rsid w:val="00A701EE"/>
    <w:rsid w:val="00A704EA"/>
    <w:rsid w:val="00A709C7"/>
    <w:rsid w:val="00A715AE"/>
    <w:rsid w:val="00A72A7B"/>
    <w:rsid w:val="00A72AC5"/>
    <w:rsid w:val="00A736A9"/>
    <w:rsid w:val="00A741CD"/>
    <w:rsid w:val="00A74422"/>
    <w:rsid w:val="00A74BDF"/>
    <w:rsid w:val="00A756BE"/>
    <w:rsid w:val="00A7611D"/>
    <w:rsid w:val="00A763CD"/>
    <w:rsid w:val="00A769FA"/>
    <w:rsid w:val="00A76F87"/>
    <w:rsid w:val="00A7762D"/>
    <w:rsid w:val="00A77F60"/>
    <w:rsid w:val="00A80A7E"/>
    <w:rsid w:val="00A80F14"/>
    <w:rsid w:val="00A81375"/>
    <w:rsid w:val="00A82401"/>
    <w:rsid w:val="00A82DEF"/>
    <w:rsid w:val="00A82EB6"/>
    <w:rsid w:val="00A82EEA"/>
    <w:rsid w:val="00A83B05"/>
    <w:rsid w:val="00A83BE6"/>
    <w:rsid w:val="00A83D25"/>
    <w:rsid w:val="00A84848"/>
    <w:rsid w:val="00A852D5"/>
    <w:rsid w:val="00A85B7B"/>
    <w:rsid w:val="00A865A5"/>
    <w:rsid w:val="00A87310"/>
    <w:rsid w:val="00A87DAA"/>
    <w:rsid w:val="00A91FA2"/>
    <w:rsid w:val="00A92080"/>
    <w:rsid w:val="00A9219C"/>
    <w:rsid w:val="00A92D1A"/>
    <w:rsid w:val="00A93330"/>
    <w:rsid w:val="00A94946"/>
    <w:rsid w:val="00A956F8"/>
    <w:rsid w:val="00A95B06"/>
    <w:rsid w:val="00A96B0D"/>
    <w:rsid w:val="00A97F47"/>
    <w:rsid w:val="00AA13D9"/>
    <w:rsid w:val="00AA1701"/>
    <w:rsid w:val="00AA22FB"/>
    <w:rsid w:val="00AA245E"/>
    <w:rsid w:val="00AA283D"/>
    <w:rsid w:val="00AA2DBA"/>
    <w:rsid w:val="00AA2EDC"/>
    <w:rsid w:val="00AA33FC"/>
    <w:rsid w:val="00AA4A0E"/>
    <w:rsid w:val="00AA55DF"/>
    <w:rsid w:val="00AA57D8"/>
    <w:rsid w:val="00AA5E9D"/>
    <w:rsid w:val="00AA634A"/>
    <w:rsid w:val="00AA7077"/>
    <w:rsid w:val="00AB004F"/>
    <w:rsid w:val="00AB0056"/>
    <w:rsid w:val="00AB0061"/>
    <w:rsid w:val="00AB032B"/>
    <w:rsid w:val="00AB0563"/>
    <w:rsid w:val="00AB06CB"/>
    <w:rsid w:val="00AB0979"/>
    <w:rsid w:val="00AB0DBF"/>
    <w:rsid w:val="00AB1B04"/>
    <w:rsid w:val="00AB2436"/>
    <w:rsid w:val="00AB2B83"/>
    <w:rsid w:val="00AB3A54"/>
    <w:rsid w:val="00AB406E"/>
    <w:rsid w:val="00AB45F3"/>
    <w:rsid w:val="00AB4814"/>
    <w:rsid w:val="00AB4971"/>
    <w:rsid w:val="00AB535D"/>
    <w:rsid w:val="00AB53B7"/>
    <w:rsid w:val="00AB5442"/>
    <w:rsid w:val="00AB57E5"/>
    <w:rsid w:val="00AB5B7B"/>
    <w:rsid w:val="00AB60DA"/>
    <w:rsid w:val="00AB645A"/>
    <w:rsid w:val="00AB6D5F"/>
    <w:rsid w:val="00AB71C0"/>
    <w:rsid w:val="00AB723F"/>
    <w:rsid w:val="00AB774C"/>
    <w:rsid w:val="00AB7B3B"/>
    <w:rsid w:val="00AC020A"/>
    <w:rsid w:val="00AC02A4"/>
    <w:rsid w:val="00AC1111"/>
    <w:rsid w:val="00AC129E"/>
    <w:rsid w:val="00AC27B1"/>
    <w:rsid w:val="00AC311F"/>
    <w:rsid w:val="00AC3D5E"/>
    <w:rsid w:val="00AC3E29"/>
    <w:rsid w:val="00AC40DC"/>
    <w:rsid w:val="00AC4292"/>
    <w:rsid w:val="00AC5002"/>
    <w:rsid w:val="00AC575F"/>
    <w:rsid w:val="00AC5B2B"/>
    <w:rsid w:val="00AC5F0E"/>
    <w:rsid w:val="00AC60D6"/>
    <w:rsid w:val="00AC6CCA"/>
    <w:rsid w:val="00AC75D7"/>
    <w:rsid w:val="00AC7C53"/>
    <w:rsid w:val="00AC7F6D"/>
    <w:rsid w:val="00AD0A58"/>
    <w:rsid w:val="00AD0AE7"/>
    <w:rsid w:val="00AD194C"/>
    <w:rsid w:val="00AD1E78"/>
    <w:rsid w:val="00AD2167"/>
    <w:rsid w:val="00AD2512"/>
    <w:rsid w:val="00AD2C09"/>
    <w:rsid w:val="00AD33A7"/>
    <w:rsid w:val="00AD4109"/>
    <w:rsid w:val="00AD41E6"/>
    <w:rsid w:val="00AD4814"/>
    <w:rsid w:val="00AD4FEC"/>
    <w:rsid w:val="00AD55CC"/>
    <w:rsid w:val="00AD5F91"/>
    <w:rsid w:val="00AD63BC"/>
    <w:rsid w:val="00AD6655"/>
    <w:rsid w:val="00AD67F6"/>
    <w:rsid w:val="00AD6D39"/>
    <w:rsid w:val="00AD6DB6"/>
    <w:rsid w:val="00AD765E"/>
    <w:rsid w:val="00AE0230"/>
    <w:rsid w:val="00AE03C6"/>
    <w:rsid w:val="00AE04FA"/>
    <w:rsid w:val="00AE059A"/>
    <w:rsid w:val="00AE13D6"/>
    <w:rsid w:val="00AE1988"/>
    <w:rsid w:val="00AE19DA"/>
    <w:rsid w:val="00AE1E23"/>
    <w:rsid w:val="00AE2C39"/>
    <w:rsid w:val="00AE2C7F"/>
    <w:rsid w:val="00AE364A"/>
    <w:rsid w:val="00AE3D3D"/>
    <w:rsid w:val="00AE3DF5"/>
    <w:rsid w:val="00AE4178"/>
    <w:rsid w:val="00AE4BA6"/>
    <w:rsid w:val="00AE53E8"/>
    <w:rsid w:val="00AE5730"/>
    <w:rsid w:val="00AE6390"/>
    <w:rsid w:val="00AE64FA"/>
    <w:rsid w:val="00AE7112"/>
    <w:rsid w:val="00AE7166"/>
    <w:rsid w:val="00AE7472"/>
    <w:rsid w:val="00AF019F"/>
    <w:rsid w:val="00AF187A"/>
    <w:rsid w:val="00AF2325"/>
    <w:rsid w:val="00AF2C7F"/>
    <w:rsid w:val="00AF2EAE"/>
    <w:rsid w:val="00AF3633"/>
    <w:rsid w:val="00AF3840"/>
    <w:rsid w:val="00AF388A"/>
    <w:rsid w:val="00AF3F32"/>
    <w:rsid w:val="00AF433D"/>
    <w:rsid w:val="00AF4CA6"/>
    <w:rsid w:val="00AF50AF"/>
    <w:rsid w:val="00AF5371"/>
    <w:rsid w:val="00AF6838"/>
    <w:rsid w:val="00AF70ED"/>
    <w:rsid w:val="00AF7926"/>
    <w:rsid w:val="00AF7E34"/>
    <w:rsid w:val="00AF7E7E"/>
    <w:rsid w:val="00B004BD"/>
    <w:rsid w:val="00B00ABA"/>
    <w:rsid w:val="00B00BE6"/>
    <w:rsid w:val="00B00C01"/>
    <w:rsid w:val="00B0107C"/>
    <w:rsid w:val="00B010CA"/>
    <w:rsid w:val="00B0127A"/>
    <w:rsid w:val="00B01588"/>
    <w:rsid w:val="00B0162F"/>
    <w:rsid w:val="00B0261C"/>
    <w:rsid w:val="00B034D8"/>
    <w:rsid w:val="00B034E4"/>
    <w:rsid w:val="00B039D7"/>
    <w:rsid w:val="00B0449A"/>
    <w:rsid w:val="00B04BAD"/>
    <w:rsid w:val="00B04C1F"/>
    <w:rsid w:val="00B04ECD"/>
    <w:rsid w:val="00B056C1"/>
    <w:rsid w:val="00B05AFE"/>
    <w:rsid w:val="00B063FB"/>
    <w:rsid w:val="00B06A89"/>
    <w:rsid w:val="00B0742E"/>
    <w:rsid w:val="00B0747A"/>
    <w:rsid w:val="00B07A9E"/>
    <w:rsid w:val="00B10AB1"/>
    <w:rsid w:val="00B117DC"/>
    <w:rsid w:val="00B11B84"/>
    <w:rsid w:val="00B11FC2"/>
    <w:rsid w:val="00B133F8"/>
    <w:rsid w:val="00B1351C"/>
    <w:rsid w:val="00B14018"/>
    <w:rsid w:val="00B14120"/>
    <w:rsid w:val="00B14174"/>
    <w:rsid w:val="00B15454"/>
    <w:rsid w:val="00B1571F"/>
    <w:rsid w:val="00B15FD5"/>
    <w:rsid w:val="00B17925"/>
    <w:rsid w:val="00B20259"/>
    <w:rsid w:val="00B20DB6"/>
    <w:rsid w:val="00B2125A"/>
    <w:rsid w:val="00B222C4"/>
    <w:rsid w:val="00B23EB3"/>
    <w:rsid w:val="00B24244"/>
    <w:rsid w:val="00B247BF"/>
    <w:rsid w:val="00B24A7C"/>
    <w:rsid w:val="00B24C9A"/>
    <w:rsid w:val="00B24DBF"/>
    <w:rsid w:val="00B25055"/>
    <w:rsid w:val="00B25721"/>
    <w:rsid w:val="00B25729"/>
    <w:rsid w:val="00B26202"/>
    <w:rsid w:val="00B26FE9"/>
    <w:rsid w:val="00B30617"/>
    <w:rsid w:val="00B30623"/>
    <w:rsid w:val="00B307AB"/>
    <w:rsid w:val="00B31188"/>
    <w:rsid w:val="00B33491"/>
    <w:rsid w:val="00B336B8"/>
    <w:rsid w:val="00B34050"/>
    <w:rsid w:val="00B34533"/>
    <w:rsid w:val="00B34AC6"/>
    <w:rsid w:val="00B34B85"/>
    <w:rsid w:val="00B35B8E"/>
    <w:rsid w:val="00B36015"/>
    <w:rsid w:val="00B36312"/>
    <w:rsid w:val="00B366D7"/>
    <w:rsid w:val="00B3689C"/>
    <w:rsid w:val="00B3744F"/>
    <w:rsid w:val="00B375DD"/>
    <w:rsid w:val="00B37981"/>
    <w:rsid w:val="00B37B7B"/>
    <w:rsid w:val="00B4208E"/>
    <w:rsid w:val="00B42778"/>
    <w:rsid w:val="00B43B11"/>
    <w:rsid w:val="00B43D00"/>
    <w:rsid w:val="00B4426E"/>
    <w:rsid w:val="00B44319"/>
    <w:rsid w:val="00B4504C"/>
    <w:rsid w:val="00B457A8"/>
    <w:rsid w:val="00B45C83"/>
    <w:rsid w:val="00B46914"/>
    <w:rsid w:val="00B476EC"/>
    <w:rsid w:val="00B47E8D"/>
    <w:rsid w:val="00B50137"/>
    <w:rsid w:val="00B51053"/>
    <w:rsid w:val="00B51AE4"/>
    <w:rsid w:val="00B52449"/>
    <w:rsid w:val="00B53B76"/>
    <w:rsid w:val="00B53E2F"/>
    <w:rsid w:val="00B54F34"/>
    <w:rsid w:val="00B56594"/>
    <w:rsid w:val="00B57161"/>
    <w:rsid w:val="00B601AB"/>
    <w:rsid w:val="00B60490"/>
    <w:rsid w:val="00B6085A"/>
    <w:rsid w:val="00B60898"/>
    <w:rsid w:val="00B60C7C"/>
    <w:rsid w:val="00B62117"/>
    <w:rsid w:val="00B63528"/>
    <w:rsid w:val="00B645A4"/>
    <w:rsid w:val="00B64C74"/>
    <w:rsid w:val="00B64D10"/>
    <w:rsid w:val="00B65A34"/>
    <w:rsid w:val="00B65C54"/>
    <w:rsid w:val="00B661C4"/>
    <w:rsid w:val="00B66390"/>
    <w:rsid w:val="00B6647E"/>
    <w:rsid w:val="00B66BCE"/>
    <w:rsid w:val="00B70043"/>
    <w:rsid w:val="00B71170"/>
    <w:rsid w:val="00B71417"/>
    <w:rsid w:val="00B71ED5"/>
    <w:rsid w:val="00B71F68"/>
    <w:rsid w:val="00B72526"/>
    <w:rsid w:val="00B72641"/>
    <w:rsid w:val="00B729B9"/>
    <w:rsid w:val="00B72D58"/>
    <w:rsid w:val="00B73B8E"/>
    <w:rsid w:val="00B73CFA"/>
    <w:rsid w:val="00B75188"/>
    <w:rsid w:val="00B75D05"/>
    <w:rsid w:val="00B75F8F"/>
    <w:rsid w:val="00B7705A"/>
    <w:rsid w:val="00B773F1"/>
    <w:rsid w:val="00B7744A"/>
    <w:rsid w:val="00B80179"/>
    <w:rsid w:val="00B80537"/>
    <w:rsid w:val="00B805EB"/>
    <w:rsid w:val="00B805ED"/>
    <w:rsid w:val="00B812CE"/>
    <w:rsid w:val="00B8132F"/>
    <w:rsid w:val="00B81B4F"/>
    <w:rsid w:val="00B81D22"/>
    <w:rsid w:val="00B81ED8"/>
    <w:rsid w:val="00B82BAC"/>
    <w:rsid w:val="00B830A5"/>
    <w:rsid w:val="00B833A7"/>
    <w:rsid w:val="00B83777"/>
    <w:rsid w:val="00B8444F"/>
    <w:rsid w:val="00B8459C"/>
    <w:rsid w:val="00B85CC2"/>
    <w:rsid w:val="00B85FEA"/>
    <w:rsid w:val="00B871E9"/>
    <w:rsid w:val="00B87890"/>
    <w:rsid w:val="00B900EB"/>
    <w:rsid w:val="00B9058D"/>
    <w:rsid w:val="00B906C7"/>
    <w:rsid w:val="00B9081E"/>
    <w:rsid w:val="00B90B54"/>
    <w:rsid w:val="00B94362"/>
    <w:rsid w:val="00B94D5B"/>
    <w:rsid w:val="00B954A3"/>
    <w:rsid w:val="00B96A96"/>
    <w:rsid w:val="00B96CA0"/>
    <w:rsid w:val="00BA016A"/>
    <w:rsid w:val="00BA0B94"/>
    <w:rsid w:val="00BA0DA3"/>
    <w:rsid w:val="00BA103A"/>
    <w:rsid w:val="00BA147D"/>
    <w:rsid w:val="00BA208C"/>
    <w:rsid w:val="00BA2620"/>
    <w:rsid w:val="00BA4727"/>
    <w:rsid w:val="00BA4EDA"/>
    <w:rsid w:val="00BA5203"/>
    <w:rsid w:val="00BA5569"/>
    <w:rsid w:val="00BA58B6"/>
    <w:rsid w:val="00BA6BC1"/>
    <w:rsid w:val="00BA6F45"/>
    <w:rsid w:val="00BA70C9"/>
    <w:rsid w:val="00BB0633"/>
    <w:rsid w:val="00BB0A60"/>
    <w:rsid w:val="00BB1937"/>
    <w:rsid w:val="00BB23AC"/>
    <w:rsid w:val="00BB2999"/>
    <w:rsid w:val="00BB2E89"/>
    <w:rsid w:val="00BB33E0"/>
    <w:rsid w:val="00BB4195"/>
    <w:rsid w:val="00BB45F4"/>
    <w:rsid w:val="00BB55E2"/>
    <w:rsid w:val="00BB5DFA"/>
    <w:rsid w:val="00BB5E66"/>
    <w:rsid w:val="00BB61F7"/>
    <w:rsid w:val="00BB6204"/>
    <w:rsid w:val="00BB6C2D"/>
    <w:rsid w:val="00BB6D47"/>
    <w:rsid w:val="00BB6F9E"/>
    <w:rsid w:val="00BB742F"/>
    <w:rsid w:val="00BC013B"/>
    <w:rsid w:val="00BC0859"/>
    <w:rsid w:val="00BC0FCB"/>
    <w:rsid w:val="00BC1638"/>
    <w:rsid w:val="00BC16C1"/>
    <w:rsid w:val="00BC1767"/>
    <w:rsid w:val="00BC2291"/>
    <w:rsid w:val="00BC258C"/>
    <w:rsid w:val="00BC2ADA"/>
    <w:rsid w:val="00BC2CD6"/>
    <w:rsid w:val="00BC3672"/>
    <w:rsid w:val="00BC378F"/>
    <w:rsid w:val="00BC3837"/>
    <w:rsid w:val="00BC40AE"/>
    <w:rsid w:val="00BC44F5"/>
    <w:rsid w:val="00BC4AC8"/>
    <w:rsid w:val="00BC4CC4"/>
    <w:rsid w:val="00BC599C"/>
    <w:rsid w:val="00BC5AE7"/>
    <w:rsid w:val="00BC5F4F"/>
    <w:rsid w:val="00BC63D2"/>
    <w:rsid w:val="00BC6DC7"/>
    <w:rsid w:val="00BC79D7"/>
    <w:rsid w:val="00BD0203"/>
    <w:rsid w:val="00BD0A42"/>
    <w:rsid w:val="00BD12F3"/>
    <w:rsid w:val="00BD130A"/>
    <w:rsid w:val="00BD1345"/>
    <w:rsid w:val="00BD1613"/>
    <w:rsid w:val="00BD1CF7"/>
    <w:rsid w:val="00BD2BE3"/>
    <w:rsid w:val="00BD3302"/>
    <w:rsid w:val="00BD3638"/>
    <w:rsid w:val="00BD3BF2"/>
    <w:rsid w:val="00BD4714"/>
    <w:rsid w:val="00BD4B3C"/>
    <w:rsid w:val="00BD4F77"/>
    <w:rsid w:val="00BD5ED9"/>
    <w:rsid w:val="00BD5FA1"/>
    <w:rsid w:val="00BD6EB3"/>
    <w:rsid w:val="00BD7171"/>
    <w:rsid w:val="00BD76B3"/>
    <w:rsid w:val="00BE12EE"/>
    <w:rsid w:val="00BE1448"/>
    <w:rsid w:val="00BE1925"/>
    <w:rsid w:val="00BE2132"/>
    <w:rsid w:val="00BE2769"/>
    <w:rsid w:val="00BE3CD6"/>
    <w:rsid w:val="00BE57B2"/>
    <w:rsid w:val="00BE5A7A"/>
    <w:rsid w:val="00BE63A5"/>
    <w:rsid w:val="00BE65B6"/>
    <w:rsid w:val="00BE6975"/>
    <w:rsid w:val="00BE73A8"/>
    <w:rsid w:val="00BE76EA"/>
    <w:rsid w:val="00BE79D0"/>
    <w:rsid w:val="00BE7DC9"/>
    <w:rsid w:val="00BE7F52"/>
    <w:rsid w:val="00BF0187"/>
    <w:rsid w:val="00BF0A0E"/>
    <w:rsid w:val="00BF0A93"/>
    <w:rsid w:val="00BF0EAA"/>
    <w:rsid w:val="00BF18E7"/>
    <w:rsid w:val="00BF1AC6"/>
    <w:rsid w:val="00BF1EC6"/>
    <w:rsid w:val="00BF22D9"/>
    <w:rsid w:val="00BF24E7"/>
    <w:rsid w:val="00BF4121"/>
    <w:rsid w:val="00BF4B76"/>
    <w:rsid w:val="00BF695E"/>
    <w:rsid w:val="00BF6C44"/>
    <w:rsid w:val="00C009B1"/>
    <w:rsid w:val="00C01513"/>
    <w:rsid w:val="00C018DB"/>
    <w:rsid w:val="00C0192B"/>
    <w:rsid w:val="00C01A69"/>
    <w:rsid w:val="00C01ECB"/>
    <w:rsid w:val="00C02EDE"/>
    <w:rsid w:val="00C032F6"/>
    <w:rsid w:val="00C068D6"/>
    <w:rsid w:val="00C06D67"/>
    <w:rsid w:val="00C07545"/>
    <w:rsid w:val="00C10083"/>
    <w:rsid w:val="00C10B35"/>
    <w:rsid w:val="00C1107E"/>
    <w:rsid w:val="00C11E95"/>
    <w:rsid w:val="00C12F3C"/>
    <w:rsid w:val="00C135ED"/>
    <w:rsid w:val="00C142F7"/>
    <w:rsid w:val="00C145A6"/>
    <w:rsid w:val="00C1555C"/>
    <w:rsid w:val="00C15691"/>
    <w:rsid w:val="00C156B0"/>
    <w:rsid w:val="00C16512"/>
    <w:rsid w:val="00C17703"/>
    <w:rsid w:val="00C179B8"/>
    <w:rsid w:val="00C206B0"/>
    <w:rsid w:val="00C20788"/>
    <w:rsid w:val="00C217DA"/>
    <w:rsid w:val="00C21C7F"/>
    <w:rsid w:val="00C22027"/>
    <w:rsid w:val="00C22641"/>
    <w:rsid w:val="00C2296F"/>
    <w:rsid w:val="00C23BDE"/>
    <w:rsid w:val="00C248D1"/>
    <w:rsid w:val="00C252D5"/>
    <w:rsid w:val="00C25401"/>
    <w:rsid w:val="00C26521"/>
    <w:rsid w:val="00C26BA9"/>
    <w:rsid w:val="00C270B4"/>
    <w:rsid w:val="00C271A9"/>
    <w:rsid w:val="00C27325"/>
    <w:rsid w:val="00C27FEC"/>
    <w:rsid w:val="00C3140A"/>
    <w:rsid w:val="00C3142B"/>
    <w:rsid w:val="00C327B9"/>
    <w:rsid w:val="00C33684"/>
    <w:rsid w:val="00C33830"/>
    <w:rsid w:val="00C34378"/>
    <w:rsid w:val="00C3508A"/>
    <w:rsid w:val="00C351AB"/>
    <w:rsid w:val="00C353EB"/>
    <w:rsid w:val="00C35F9C"/>
    <w:rsid w:val="00C3601B"/>
    <w:rsid w:val="00C362EF"/>
    <w:rsid w:val="00C369CF"/>
    <w:rsid w:val="00C36AE5"/>
    <w:rsid w:val="00C3781A"/>
    <w:rsid w:val="00C406FA"/>
    <w:rsid w:val="00C40A96"/>
    <w:rsid w:val="00C410C2"/>
    <w:rsid w:val="00C4168E"/>
    <w:rsid w:val="00C41D53"/>
    <w:rsid w:val="00C41E75"/>
    <w:rsid w:val="00C42017"/>
    <w:rsid w:val="00C4253C"/>
    <w:rsid w:val="00C42F90"/>
    <w:rsid w:val="00C430CB"/>
    <w:rsid w:val="00C437F2"/>
    <w:rsid w:val="00C43AED"/>
    <w:rsid w:val="00C4412D"/>
    <w:rsid w:val="00C441D9"/>
    <w:rsid w:val="00C444A2"/>
    <w:rsid w:val="00C45126"/>
    <w:rsid w:val="00C4538C"/>
    <w:rsid w:val="00C47286"/>
    <w:rsid w:val="00C479C6"/>
    <w:rsid w:val="00C51059"/>
    <w:rsid w:val="00C51DD6"/>
    <w:rsid w:val="00C5205F"/>
    <w:rsid w:val="00C53890"/>
    <w:rsid w:val="00C53B2F"/>
    <w:rsid w:val="00C54E51"/>
    <w:rsid w:val="00C553E8"/>
    <w:rsid w:val="00C55606"/>
    <w:rsid w:val="00C575EC"/>
    <w:rsid w:val="00C57BCC"/>
    <w:rsid w:val="00C60513"/>
    <w:rsid w:val="00C609F7"/>
    <w:rsid w:val="00C6118C"/>
    <w:rsid w:val="00C615D9"/>
    <w:rsid w:val="00C61891"/>
    <w:rsid w:val="00C61AAF"/>
    <w:rsid w:val="00C62840"/>
    <w:rsid w:val="00C6416B"/>
    <w:rsid w:val="00C64C93"/>
    <w:rsid w:val="00C65750"/>
    <w:rsid w:val="00C658EA"/>
    <w:rsid w:val="00C65B5F"/>
    <w:rsid w:val="00C65BCB"/>
    <w:rsid w:val="00C6651D"/>
    <w:rsid w:val="00C66D79"/>
    <w:rsid w:val="00C66F21"/>
    <w:rsid w:val="00C675E9"/>
    <w:rsid w:val="00C7021A"/>
    <w:rsid w:val="00C702F5"/>
    <w:rsid w:val="00C70605"/>
    <w:rsid w:val="00C7085B"/>
    <w:rsid w:val="00C70D0E"/>
    <w:rsid w:val="00C70EDD"/>
    <w:rsid w:val="00C71D49"/>
    <w:rsid w:val="00C72182"/>
    <w:rsid w:val="00C727E9"/>
    <w:rsid w:val="00C72CDF"/>
    <w:rsid w:val="00C73035"/>
    <w:rsid w:val="00C73E30"/>
    <w:rsid w:val="00C74D85"/>
    <w:rsid w:val="00C759A1"/>
    <w:rsid w:val="00C75F4E"/>
    <w:rsid w:val="00C76471"/>
    <w:rsid w:val="00C772D7"/>
    <w:rsid w:val="00C773F3"/>
    <w:rsid w:val="00C77912"/>
    <w:rsid w:val="00C77BBA"/>
    <w:rsid w:val="00C812C4"/>
    <w:rsid w:val="00C8175B"/>
    <w:rsid w:val="00C819AB"/>
    <w:rsid w:val="00C81F80"/>
    <w:rsid w:val="00C82935"/>
    <w:rsid w:val="00C82C83"/>
    <w:rsid w:val="00C82D2E"/>
    <w:rsid w:val="00C82FF9"/>
    <w:rsid w:val="00C83033"/>
    <w:rsid w:val="00C83B86"/>
    <w:rsid w:val="00C845C8"/>
    <w:rsid w:val="00C84BC7"/>
    <w:rsid w:val="00C8633E"/>
    <w:rsid w:val="00C868D9"/>
    <w:rsid w:val="00C86CBB"/>
    <w:rsid w:val="00C90719"/>
    <w:rsid w:val="00C90FDF"/>
    <w:rsid w:val="00C91226"/>
    <w:rsid w:val="00C916CF"/>
    <w:rsid w:val="00C91707"/>
    <w:rsid w:val="00C9176B"/>
    <w:rsid w:val="00C91FAE"/>
    <w:rsid w:val="00C92172"/>
    <w:rsid w:val="00C933E6"/>
    <w:rsid w:val="00C93552"/>
    <w:rsid w:val="00C93DA6"/>
    <w:rsid w:val="00C94DB7"/>
    <w:rsid w:val="00C9538B"/>
    <w:rsid w:val="00C95A97"/>
    <w:rsid w:val="00C9624F"/>
    <w:rsid w:val="00C96A89"/>
    <w:rsid w:val="00C970E8"/>
    <w:rsid w:val="00C97753"/>
    <w:rsid w:val="00C9782F"/>
    <w:rsid w:val="00C97F94"/>
    <w:rsid w:val="00CA0119"/>
    <w:rsid w:val="00CA1431"/>
    <w:rsid w:val="00CA381D"/>
    <w:rsid w:val="00CA4D07"/>
    <w:rsid w:val="00CA4F89"/>
    <w:rsid w:val="00CA54FC"/>
    <w:rsid w:val="00CA5B70"/>
    <w:rsid w:val="00CA659E"/>
    <w:rsid w:val="00CA7DF4"/>
    <w:rsid w:val="00CB0E40"/>
    <w:rsid w:val="00CB103B"/>
    <w:rsid w:val="00CB2019"/>
    <w:rsid w:val="00CB2749"/>
    <w:rsid w:val="00CB2A99"/>
    <w:rsid w:val="00CB434C"/>
    <w:rsid w:val="00CB4763"/>
    <w:rsid w:val="00CB4995"/>
    <w:rsid w:val="00CB5181"/>
    <w:rsid w:val="00CB59BB"/>
    <w:rsid w:val="00CB5A31"/>
    <w:rsid w:val="00CB6809"/>
    <w:rsid w:val="00CB7802"/>
    <w:rsid w:val="00CB7924"/>
    <w:rsid w:val="00CB7AB2"/>
    <w:rsid w:val="00CB7DEF"/>
    <w:rsid w:val="00CC01D7"/>
    <w:rsid w:val="00CC07C4"/>
    <w:rsid w:val="00CC1152"/>
    <w:rsid w:val="00CC2E84"/>
    <w:rsid w:val="00CC35F3"/>
    <w:rsid w:val="00CC410D"/>
    <w:rsid w:val="00CC419C"/>
    <w:rsid w:val="00CC44FF"/>
    <w:rsid w:val="00CC4A99"/>
    <w:rsid w:val="00CC52FE"/>
    <w:rsid w:val="00CC5531"/>
    <w:rsid w:val="00CC557D"/>
    <w:rsid w:val="00CC5CB2"/>
    <w:rsid w:val="00CC7CC2"/>
    <w:rsid w:val="00CD003D"/>
    <w:rsid w:val="00CD09E3"/>
    <w:rsid w:val="00CD1114"/>
    <w:rsid w:val="00CD12F7"/>
    <w:rsid w:val="00CD1F8A"/>
    <w:rsid w:val="00CD2638"/>
    <w:rsid w:val="00CD35DC"/>
    <w:rsid w:val="00CD3F1B"/>
    <w:rsid w:val="00CD4587"/>
    <w:rsid w:val="00CD4DA9"/>
    <w:rsid w:val="00CD5049"/>
    <w:rsid w:val="00CD55D8"/>
    <w:rsid w:val="00CD576E"/>
    <w:rsid w:val="00CD5890"/>
    <w:rsid w:val="00CD59D1"/>
    <w:rsid w:val="00CD61DB"/>
    <w:rsid w:val="00CE0C6D"/>
    <w:rsid w:val="00CE0F97"/>
    <w:rsid w:val="00CE1052"/>
    <w:rsid w:val="00CE1263"/>
    <w:rsid w:val="00CE14A3"/>
    <w:rsid w:val="00CE16F7"/>
    <w:rsid w:val="00CE17A6"/>
    <w:rsid w:val="00CE1F99"/>
    <w:rsid w:val="00CE1FCF"/>
    <w:rsid w:val="00CE2119"/>
    <w:rsid w:val="00CE2B25"/>
    <w:rsid w:val="00CE3ABF"/>
    <w:rsid w:val="00CE465E"/>
    <w:rsid w:val="00CE4A01"/>
    <w:rsid w:val="00CE514C"/>
    <w:rsid w:val="00CE56A9"/>
    <w:rsid w:val="00CE5845"/>
    <w:rsid w:val="00CE5EB2"/>
    <w:rsid w:val="00CE6038"/>
    <w:rsid w:val="00CE6A3B"/>
    <w:rsid w:val="00CE71D3"/>
    <w:rsid w:val="00CF0015"/>
    <w:rsid w:val="00CF0DA6"/>
    <w:rsid w:val="00CF13D7"/>
    <w:rsid w:val="00CF1565"/>
    <w:rsid w:val="00CF1598"/>
    <w:rsid w:val="00CF1C3E"/>
    <w:rsid w:val="00CF1CF9"/>
    <w:rsid w:val="00CF2298"/>
    <w:rsid w:val="00CF2585"/>
    <w:rsid w:val="00CF32F5"/>
    <w:rsid w:val="00CF3624"/>
    <w:rsid w:val="00CF424E"/>
    <w:rsid w:val="00CF459C"/>
    <w:rsid w:val="00CF50B1"/>
    <w:rsid w:val="00CF5585"/>
    <w:rsid w:val="00CF5918"/>
    <w:rsid w:val="00CF5C2B"/>
    <w:rsid w:val="00CF68AD"/>
    <w:rsid w:val="00CF6BEC"/>
    <w:rsid w:val="00CF6C63"/>
    <w:rsid w:val="00CF6D48"/>
    <w:rsid w:val="00CF78D9"/>
    <w:rsid w:val="00CF7EA8"/>
    <w:rsid w:val="00D00EA7"/>
    <w:rsid w:val="00D00FC3"/>
    <w:rsid w:val="00D022EA"/>
    <w:rsid w:val="00D024B9"/>
    <w:rsid w:val="00D032A0"/>
    <w:rsid w:val="00D03DF8"/>
    <w:rsid w:val="00D0430B"/>
    <w:rsid w:val="00D04850"/>
    <w:rsid w:val="00D04989"/>
    <w:rsid w:val="00D053AC"/>
    <w:rsid w:val="00D06208"/>
    <w:rsid w:val="00D06582"/>
    <w:rsid w:val="00D079EA"/>
    <w:rsid w:val="00D10136"/>
    <w:rsid w:val="00D10558"/>
    <w:rsid w:val="00D106A1"/>
    <w:rsid w:val="00D10B98"/>
    <w:rsid w:val="00D1156E"/>
    <w:rsid w:val="00D117F5"/>
    <w:rsid w:val="00D12228"/>
    <w:rsid w:val="00D1226B"/>
    <w:rsid w:val="00D127AC"/>
    <w:rsid w:val="00D12B4A"/>
    <w:rsid w:val="00D12E3C"/>
    <w:rsid w:val="00D1672B"/>
    <w:rsid w:val="00D17578"/>
    <w:rsid w:val="00D175A2"/>
    <w:rsid w:val="00D178A0"/>
    <w:rsid w:val="00D21114"/>
    <w:rsid w:val="00D21215"/>
    <w:rsid w:val="00D21B54"/>
    <w:rsid w:val="00D21BCE"/>
    <w:rsid w:val="00D2269F"/>
    <w:rsid w:val="00D22978"/>
    <w:rsid w:val="00D22D41"/>
    <w:rsid w:val="00D22EF4"/>
    <w:rsid w:val="00D232F7"/>
    <w:rsid w:val="00D23783"/>
    <w:rsid w:val="00D245EB"/>
    <w:rsid w:val="00D2490A"/>
    <w:rsid w:val="00D25689"/>
    <w:rsid w:val="00D257E4"/>
    <w:rsid w:val="00D25F43"/>
    <w:rsid w:val="00D265C5"/>
    <w:rsid w:val="00D27002"/>
    <w:rsid w:val="00D27310"/>
    <w:rsid w:val="00D27A95"/>
    <w:rsid w:val="00D27BC7"/>
    <w:rsid w:val="00D27C5C"/>
    <w:rsid w:val="00D27CBF"/>
    <w:rsid w:val="00D30444"/>
    <w:rsid w:val="00D30762"/>
    <w:rsid w:val="00D30B69"/>
    <w:rsid w:val="00D313F8"/>
    <w:rsid w:val="00D314FA"/>
    <w:rsid w:val="00D31A05"/>
    <w:rsid w:val="00D31B24"/>
    <w:rsid w:val="00D32588"/>
    <w:rsid w:val="00D3275F"/>
    <w:rsid w:val="00D328B3"/>
    <w:rsid w:val="00D33ADB"/>
    <w:rsid w:val="00D33B71"/>
    <w:rsid w:val="00D35EEE"/>
    <w:rsid w:val="00D36684"/>
    <w:rsid w:val="00D37C97"/>
    <w:rsid w:val="00D408D5"/>
    <w:rsid w:val="00D418A2"/>
    <w:rsid w:val="00D41C18"/>
    <w:rsid w:val="00D425C7"/>
    <w:rsid w:val="00D42F84"/>
    <w:rsid w:val="00D43579"/>
    <w:rsid w:val="00D449DF"/>
    <w:rsid w:val="00D449FF"/>
    <w:rsid w:val="00D44A79"/>
    <w:rsid w:val="00D451C9"/>
    <w:rsid w:val="00D45308"/>
    <w:rsid w:val="00D457BC"/>
    <w:rsid w:val="00D45922"/>
    <w:rsid w:val="00D462B9"/>
    <w:rsid w:val="00D47174"/>
    <w:rsid w:val="00D50425"/>
    <w:rsid w:val="00D51064"/>
    <w:rsid w:val="00D516BB"/>
    <w:rsid w:val="00D525B5"/>
    <w:rsid w:val="00D52F9C"/>
    <w:rsid w:val="00D5318C"/>
    <w:rsid w:val="00D539D3"/>
    <w:rsid w:val="00D53CF8"/>
    <w:rsid w:val="00D53F35"/>
    <w:rsid w:val="00D5447D"/>
    <w:rsid w:val="00D54856"/>
    <w:rsid w:val="00D54954"/>
    <w:rsid w:val="00D54BF4"/>
    <w:rsid w:val="00D54CBB"/>
    <w:rsid w:val="00D56E51"/>
    <w:rsid w:val="00D57154"/>
    <w:rsid w:val="00D5764B"/>
    <w:rsid w:val="00D57C1D"/>
    <w:rsid w:val="00D6022A"/>
    <w:rsid w:val="00D61155"/>
    <w:rsid w:val="00D61295"/>
    <w:rsid w:val="00D61CE2"/>
    <w:rsid w:val="00D62BC7"/>
    <w:rsid w:val="00D62F16"/>
    <w:rsid w:val="00D62F2D"/>
    <w:rsid w:val="00D63E31"/>
    <w:rsid w:val="00D64118"/>
    <w:rsid w:val="00D64615"/>
    <w:rsid w:val="00D64B3B"/>
    <w:rsid w:val="00D652DB"/>
    <w:rsid w:val="00D6570F"/>
    <w:rsid w:val="00D65A43"/>
    <w:rsid w:val="00D65B4D"/>
    <w:rsid w:val="00D668BB"/>
    <w:rsid w:val="00D67B88"/>
    <w:rsid w:val="00D67E64"/>
    <w:rsid w:val="00D70886"/>
    <w:rsid w:val="00D70A2B"/>
    <w:rsid w:val="00D70B2A"/>
    <w:rsid w:val="00D70C1D"/>
    <w:rsid w:val="00D71AAE"/>
    <w:rsid w:val="00D722BA"/>
    <w:rsid w:val="00D725EF"/>
    <w:rsid w:val="00D72866"/>
    <w:rsid w:val="00D731D5"/>
    <w:rsid w:val="00D73468"/>
    <w:rsid w:val="00D74F96"/>
    <w:rsid w:val="00D75423"/>
    <w:rsid w:val="00D7591B"/>
    <w:rsid w:val="00D7630E"/>
    <w:rsid w:val="00D7651C"/>
    <w:rsid w:val="00D77039"/>
    <w:rsid w:val="00D7739F"/>
    <w:rsid w:val="00D80877"/>
    <w:rsid w:val="00D811C4"/>
    <w:rsid w:val="00D8124F"/>
    <w:rsid w:val="00D812CC"/>
    <w:rsid w:val="00D81535"/>
    <w:rsid w:val="00D82083"/>
    <w:rsid w:val="00D8217B"/>
    <w:rsid w:val="00D82238"/>
    <w:rsid w:val="00D82810"/>
    <w:rsid w:val="00D829D5"/>
    <w:rsid w:val="00D82D03"/>
    <w:rsid w:val="00D83286"/>
    <w:rsid w:val="00D83A1A"/>
    <w:rsid w:val="00D841F7"/>
    <w:rsid w:val="00D84429"/>
    <w:rsid w:val="00D850BA"/>
    <w:rsid w:val="00D85210"/>
    <w:rsid w:val="00D85820"/>
    <w:rsid w:val="00D8629B"/>
    <w:rsid w:val="00D8639B"/>
    <w:rsid w:val="00D86927"/>
    <w:rsid w:val="00D86DD2"/>
    <w:rsid w:val="00D8797E"/>
    <w:rsid w:val="00D87DEA"/>
    <w:rsid w:val="00D902F2"/>
    <w:rsid w:val="00D90E8F"/>
    <w:rsid w:val="00D912CC"/>
    <w:rsid w:val="00D91801"/>
    <w:rsid w:val="00D9298F"/>
    <w:rsid w:val="00D92B4E"/>
    <w:rsid w:val="00D92FFA"/>
    <w:rsid w:val="00D947C1"/>
    <w:rsid w:val="00D94B47"/>
    <w:rsid w:val="00D952A0"/>
    <w:rsid w:val="00D952C2"/>
    <w:rsid w:val="00D95A98"/>
    <w:rsid w:val="00D95EC6"/>
    <w:rsid w:val="00D9609D"/>
    <w:rsid w:val="00D96158"/>
    <w:rsid w:val="00D96177"/>
    <w:rsid w:val="00D963C4"/>
    <w:rsid w:val="00D9695B"/>
    <w:rsid w:val="00D97C55"/>
    <w:rsid w:val="00DA0F6F"/>
    <w:rsid w:val="00DA1770"/>
    <w:rsid w:val="00DA1806"/>
    <w:rsid w:val="00DA1AF1"/>
    <w:rsid w:val="00DA2BDB"/>
    <w:rsid w:val="00DA2F71"/>
    <w:rsid w:val="00DA3BDC"/>
    <w:rsid w:val="00DA4064"/>
    <w:rsid w:val="00DA40BA"/>
    <w:rsid w:val="00DA40C0"/>
    <w:rsid w:val="00DA49AC"/>
    <w:rsid w:val="00DA60C6"/>
    <w:rsid w:val="00DA6153"/>
    <w:rsid w:val="00DA62F2"/>
    <w:rsid w:val="00DA6637"/>
    <w:rsid w:val="00DA678E"/>
    <w:rsid w:val="00DA67F5"/>
    <w:rsid w:val="00DA6A81"/>
    <w:rsid w:val="00DA6DD3"/>
    <w:rsid w:val="00DA6FC4"/>
    <w:rsid w:val="00DA7260"/>
    <w:rsid w:val="00DA72A1"/>
    <w:rsid w:val="00DA788B"/>
    <w:rsid w:val="00DA7EDA"/>
    <w:rsid w:val="00DB05A9"/>
    <w:rsid w:val="00DB0920"/>
    <w:rsid w:val="00DB0BF7"/>
    <w:rsid w:val="00DB1ED4"/>
    <w:rsid w:val="00DB249A"/>
    <w:rsid w:val="00DB2EC8"/>
    <w:rsid w:val="00DB2EFA"/>
    <w:rsid w:val="00DB328F"/>
    <w:rsid w:val="00DB44E9"/>
    <w:rsid w:val="00DB4B44"/>
    <w:rsid w:val="00DB4DFC"/>
    <w:rsid w:val="00DB519E"/>
    <w:rsid w:val="00DB530A"/>
    <w:rsid w:val="00DB57F6"/>
    <w:rsid w:val="00DB625A"/>
    <w:rsid w:val="00DB6BA7"/>
    <w:rsid w:val="00DB6E30"/>
    <w:rsid w:val="00DB6EB5"/>
    <w:rsid w:val="00DB7255"/>
    <w:rsid w:val="00DB763F"/>
    <w:rsid w:val="00DB7766"/>
    <w:rsid w:val="00DC0C65"/>
    <w:rsid w:val="00DC0F64"/>
    <w:rsid w:val="00DC17B6"/>
    <w:rsid w:val="00DC265A"/>
    <w:rsid w:val="00DC42D4"/>
    <w:rsid w:val="00DC4D46"/>
    <w:rsid w:val="00DC4D6C"/>
    <w:rsid w:val="00DC5CEB"/>
    <w:rsid w:val="00DC62A0"/>
    <w:rsid w:val="00DC6487"/>
    <w:rsid w:val="00DC6B8A"/>
    <w:rsid w:val="00DC7639"/>
    <w:rsid w:val="00DD1EBC"/>
    <w:rsid w:val="00DD2DDF"/>
    <w:rsid w:val="00DD3584"/>
    <w:rsid w:val="00DD44C0"/>
    <w:rsid w:val="00DD51A6"/>
    <w:rsid w:val="00DD6CE0"/>
    <w:rsid w:val="00DD6FAD"/>
    <w:rsid w:val="00DD6FB0"/>
    <w:rsid w:val="00DD789B"/>
    <w:rsid w:val="00DE034D"/>
    <w:rsid w:val="00DE07B2"/>
    <w:rsid w:val="00DE082F"/>
    <w:rsid w:val="00DE09C5"/>
    <w:rsid w:val="00DE1E49"/>
    <w:rsid w:val="00DE2409"/>
    <w:rsid w:val="00DE27F5"/>
    <w:rsid w:val="00DE343A"/>
    <w:rsid w:val="00DE394A"/>
    <w:rsid w:val="00DE491B"/>
    <w:rsid w:val="00DE4F20"/>
    <w:rsid w:val="00DE50FE"/>
    <w:rsid w:val="00DE6266"/>
    <w:rsid w:val="00DE6920"/>
    <w:rsid w:val="00DE6B8F"/>
    <w:rsid w:val="00DE6B97"/>
    <w:rsid w:val="00DE7098"/>
    <w:rsid w:val="00DE76B2"/>
    <w:rsid w:val="00DF006B"/>
    <w:rsid w:val="00DF1106"/>
    <w:rsid w:val="00DF1704"/>
    <w:rsid w:val="00DF1D5A"/>
    <w:rsid w:val="00DF1D9E"/>
    <w:rsid w:val="00DF1ECA"/>
    <w:rsid w:val="00DF2B4D"/>
    <w:rsid w:val="00DF369C"/>
    <w:rsid w:val="00DF42BE"/>
    <w:rsid w:val="00DF42C4"/>
    <w:rsid w:val="00DF4375"/>
    <w:rsid w:val="00DF4EF9"/>
    <w:rsid w:val="00DF51E9"/>
    <w:rsid w:val="00DF5F0A"/>
    <w:rsid w:val="00DF64B1"/>
    <w:rsid w:val="00DF667D"/>
    <w:rsid w:val="00DF6689"/>
    <w:rsid w:val="00DF6E99"/>
    <w:rsid w:val="00DF6F79"/>
    <w:rsid w:val="00DF721B"/>
    <w:rsid w:val="00E002BC"/>
    <w:rsid w:val="00E00367"/>
    <w:rsid w:val="00E01BD3"/>
    <w:rsid w:val="00E01E11"/>
    <w:rsid w:val="00E0206F"/>
    <w:rsid w:val="00E0224D"/>
    <w:rsid w:val="00E02CD0"/>
    <w:rsid w:val="00E0318D"/>
    <w:rsid w:val="00E04AB8"/>
    <w:rsid w:val="00E05776"/>
    <w:rsid w:val="00E05D8E"/>
    <w:rsid w:val="00E07F20"/>
    <w:rsid w:val="00E07FA2"/>
    <w:rsid w:val="00E1039B"/>
    <w:rsid w:val="00E10E41"/>
    <w:rsid w:val="00E11821"/>
    <w:rsid w:val="00E1288A"/>
    <w:rsid w:val="00E12CF0"/>
    <w:rsid w:val="00E136A0"/>
    <w:rsid w:val="00E13764"/>
    <w:rsid w:val="00E13C30"/>
    <w:rsid w:val="00E14CEC"/>
    <w:rsid w:val="00E1525B"/>
    <w:rsid w:val="00E15CB2"/>
    <w:rsid w:val="00E15D11"/>
    <w:rsid w:val="00E16455"/>
    <w:rsid w:val="00E174F9"/>
    <w:rsid w:val="00E17956"/>
    <w:rsid w:val="00E17DE6"/>
    <w:rsid w:val="00E207CC"/>
    <w:rsid w:val="00E20AC5"/>
    <w:rsid w:val="00E20B10"/>
    <w:rsid w:val="00E20B42"/>
    <w:rsid w:val="00E214C1"/>
    <w:rsid w:val="00E21FDC"/>
    <w:rsid w:val="00E220DF"/>
    <w:rsid w:val="00E22818"/>
    <w:rsid w:val="00E22BCC"/>
    <w:rsid w:val="00E23049"/>
    <w:rsid w:val="00E24998"/>
    <w:rsid w:val="00E24DF3"/>
    <w:rsid w:val="00E2525D"/>
    <w:rsid w:val="00E25DCD"/>
    <w:rsid w:val="00E25FC2"/>
    <w:rsid w:val="00E26104"/>
    <w:rsid w:val="00E26EB7"/>
    <w:rsid w:val="00E2754A"/>
    <w:rsid w:val="00E276BD"/>
    <w:rsid w:val="00E278C3"/>
    <w:rsid w:val="00E27F3B"/>
    <w:rsid w:val="00E30079"/>
    <w:rsid w:val="00E30608"/>
    <w:rsid w:val="00E30823"/>
    <w:rsid w:val="00E309A5"/>
    <w:rsid w:val="00E31174"/>
    <w:rsid w:val="00E3237E"/>
    <w:rsid w:val="00E327EC"/>
    <w:rsid w:val="00E32BFF"/>
    <w:rsid w:val="00E330A5"/>
    <w:rsid w:val="00E33259"/>
    <w:rsid w:val="00E33A94"/>
    <w:rsid w:val="00E33A9B"/>
    <w:rsid w:val="00E345AE"/>
    <w:rsid w:val="00E34A67"/>
    <w:rsid w:val="00E34E07"/>
    <w:rsid w:val="00E352E8"/>
    <w:rsid w:val="00E3655F"/>
    <w:rsid w:val="00E365F7"/>
    <w:rsid w:val="00E3663E"/>
    <w:rsid w:val="00E36941"/>
    <w:rsid w:val="00E36CDE"/>
    <w:rsid w:val="00E37103"/>
    <w:rsid w:val="00E372C6"/>
    <w:rsid w:val="00E3762D"/>
    <w:rsid w:val="00E37B8A"/>
    <w:rsid w:val="00E37FFA"/>
    <w:rsid w:val="00E409FB"/>
    <w:rsid w:val="00E40BCE"/>
    <w:rsid w:val="00E412E2"/>
    <w:rsid w:val="00E41F70"/>
    <w:rsid w:val="00E4204D"/>
    <w:rsid w:val="00E42270"/>
    <w:rsid w:val="00E4301B"/>
    <w:rsid w:val="00E43C6C"/>
    <w:rsid w:val="00E43D66"/>
    <w:rsid w:val="00E441B1"/>
    <w:rsid w:val="00E44580"/>
    <w:rsid w:val="00E44783"/>
    <w:rsid w:val="00E4601C"/>
    <w:rsid w:val="00E46541"/>
    <w:rsid w:val="00E46A12"/>
    <w:rsid w:val="00E46AC9"/>
    <w:rsid w:val="00E47F56"/>
    <w:rsid w:val="00E50790"/>
    <w:rsid w:val="00E51431"/>
    <w:rsid w:val="00E5158C"/>
    <w:rsid w:val="00E517AF"/>
    <w:rsid w:val="00E5267D"/>
    <w:rsid w:val="00E52871"/>
    <w:rsid w:val="00E52EE0"/>
    <w:rsid w:val="00E54815"/>
    <w:rsid w:val="00E54B95"/>
    <w:rsid w:val="00E55051"/>
    <w:rsid w:val="00E554FC"/>
    <w:rsid w:val="00E562A3"/>
    <w:rsid w:val="00E57F9D"/>
    <w:rsid w:val="00E606FE"/>
    <w:rsid w:val="00E60BE9"/>
    <w:rsid w:val="00E60D85"/>
    <w:rsid w:val="00E60F39"/>
    <w:rsid w:val="00E61A27"/>
    <w:rsid w:val="00E63A67"/>
    <w:rsid w:val="00E64429"/>
    <w:rsid w:val="00E6473B"/>
    <w:rsid w:val="00E64A1E"/>
    <w:rsid w:val="00E64FD8"/>
    <w:rsid w:val="00E65E36"/>
    <w:rsid w:val="00E66ED8"/>
    <w:rsid w:val="00E67AB4"/>
    <w:rsid w:val="00E67CDF"/>
    <w:rsid w:val="00E70475"/>
    <w:rsid w:val="00E7170F"/>
    <w:rsid w:val="00E72F22"/>
    <w:rsid w:val="00E73EF2"/>
    <w:rsid w:val="00E75F9E"/>
    <w:rsid w:val="00E76C9A"/>
    <w:rsid w:val="00E77213"/>
    <w:rsid w:val="00E77A63"/>
    <w:rsid w:val="00E80DC3"/>
    <w:rsid w:val="00E81CDF"/>
    <w:rsid w:val="00E81D84"/>
    <w:rsid w:val="00E81E7E"/>
    <w:rsid w:val="00E820C0"/>
    <w:rsid w:val="00E83696"/>
    <w:rsid w:val="00E837C7"/>
    <w:rsid w:val="00E83CF5"/>
    <w:rsid w:val="00E83F1C"/>
    <w:rsid w:val="00E8409C"/>
    <w:rsid w:val="00E84DB0"/>
    <w:rsid w:val="00E84E4F"/>
    <w:rsid w:val="00E84FD4"/>
    <w:rsid w:val="00E852A1"/>
    <w:rsid w:val="00E855E6"/>
    <w:rsid w:val="00E85615"/>
    <w:rsid w:val="00E85AEE"/>
    <w:rsid w:val="00E8632F"/>
    <w:rsid w:val="00E87A16"/>
    <w:rsid w:val="00E87B3A"/>
    <w:rsid w:val="00E87BE0"/>
    <w:rsid w:val="00E90FB5"/>
    <w:rsid w:val="00E9148D"/>
    <w:rsid w:val="00E93A1F"/>
    <w:rsid w:val="00E93D50"/>
    <w:rsid w:val="00E93E3C"/>
    <w:rsid w:val="00E94322"/>
    <w:rsid w:val="00E94CF8"/>
    <w:rsid w:val="00E96688"/>
    <w:rsid w:val="00E9783E"/>
    <w:rsid w:val="00EA1478"/>
    <w:rsid w:val="00EA1A4E"/>
    <w:rsid w:val="00EA1C63"/>
    <w:rsid w:val="00EA2494"/>
    <w:rsid w:val="00EA27B8"/>
    <w:rsid w:val="00EA2A10"/>
    <w:rsid w:val="00EA2D6A"/>
    <w:rsid w:val="00EA2E65"/>
    <w:rsid w:val="00EA34CC"/>
    <w:rsid w:val="00EA432C"/>
    <w:rsid w:val="00EA4D46"/>
    <w:rsid w:val="00EA54F1"/>
    <w:rsid w:val="00EA6A9C"/>
    <w:rsid w:val="00EA761A"/>
    <w:rsid w:val="00EA7B1C"/>
    <w:rsid w:val="00EA7B32"/>
    <w:rsid w:val="00EB1629"/>
    <w:rsid w:val="00EB1A88"/>
    <w:rsid w:val="00EB2414"/>
    <w:rsid w:val="00EB2A8E"/>
    <w:rsid w:val="00EB311E"/>
    <w:rsid w:val="00EB4892"/>
    <w:rsid w:val="00EB4CBE"/>
    <w:rsid w:val="00EB4D9C"/>
    <w:rsid w:val="00EB6139"/>
    <w:rsid w:val="00EB6780"/>
    <w:rsid w:val="00EB75CD"/>
    <w:rsid w:val="00EB7D08"/>
    <w:rsid w:val="00EB7FBC"/>
    <w:rsid w:val="00EC1854"/>
    <w:rsid w:val="00EC1DE0"/>
    <w:rsid w:val="00EC2476"/>
    <w:rsid w:val="00EC26EE"/>
    <w:rsid w:val="00EC295D"/>
    <w:rsid w:val="00EC2EA8"/>
    <w:rsid w:val="00EC3D2D"/>
    <w:rsid w:val="00EC3EB8"/>
    <w:rsid w:val="00EC40BC"/>
    <w:rsid w:val="00EC4B1B"/>
    <w:rsid w:val="00EC4FE4"/>
    <w:rsid w:val="00EC54B8"/>
    <w:rsid w:val="00EC5A7B"/>
    <w:rsid w:val="00EC612E"/>
    <w:rsid w:val="00EC665A"/>
    <w:rsid w:val="00EC6D51"/>
    <w:rsid w:val="00EC6E8D"/>
    <w:rsid w:val="00EC7B3F"/>
    <w:rsid w:val="00ED0130"/>
    <w:rsid w:val="00ED0B65"/>
    <w:rsid w:val="00ED1075"/>
    <w:rsid w:val="00ED25D2"/>
    <w:rsid w:val="00ED28BF"/>
    <w:rsid w:val="00ED2BD0"/>
    <w:rsid w:val="00ED2CB6"/>
    <w:rsid w:val="00ED2CD2"/>
    <w:rsid w:val="00ED3E5C"/>
    <w:rsid w:val="00ED53DC"/>
    <w:rsid w:val="00ED59F4"/>
    <w:rsid w:val="00ED5B44"/>
    <w:rsid w:val="00ED5D45"/>
    <w:rsid w:val="00ED6AFA"/>
    <w:rsid w:val="00ED6E93"/>
    <w:rsid w:val="00ED7C09"/>
    <w:rsid w:val="00ED7CE6"/>
    <w:rsid w:val="00EE0DEA"/>
    <w:rsid w:val="00EE12ED"/>
    <w:rsid w:val="00EE1798"/>
    <w:rsid w:val="00EE1C96"/>
    <w:rsid w:val="00EE2CE5"/>
    <w:rsid w:val="00EE3402"/>
    <w:rsid w:val="00EE46F3"/>
    <w:rsid w:val="00EE5522"/>
    <w:rsid w:val="00EE5A21"/>
    <w:rsid w:val="00EE64D2"/>
    <w:rsid w:val="00EE6D1E"/>
    <w:rsid w:val="00EE70F2"/>
    <w:rsid w:val="00EE71ED"/>
    <w:rsid w:val="00EE72BC"/>
    <w:rsid w:val="00EF0090"/>
    <w:rsid w:val="00EF0534"/>
    <w:rsid w:val="00EF1425"/>
    <w:rsid w:val="00EF20C4"/>
    <w:rsid w:val="00EF2C79"/>
    <w:rsid w:val="00EF2F4E"/>
    <w:rsid w:val="00EF3000"/>
    <w:rsid w:val="00EF311A"/>
    <w:rsid w:val="00EF3394"/>
    <w:rsid w:val="00EF41D4"/>
    <w:rsid w:val="00EF4DC9"/>
    <w:rsid w:val="00EF51C5"/>
    <w:rsid w:val="00EF552B"/>
    <w:rsid w:val="00EF66F5"/>
    <w:rsid w:val="00EF67C9"/>
    <w:rsid w:val="00EF7FB6"/>
    <w:rsid w:val="00F00005"/>
    <w:rsid w:val="00F002AA"/>
    <w:rsid w:val="00F01AC3"/>
    <w:rsid w:val="00F020DC"/>
    <w:rsid w:val="00F027B5"/>
    <w:rsid w:val="00F05279"/>
    <w:rsid w:val="00F05C06"/>
    <w:rsid w:val="00F05D3D"/>
    <w:rsid w:val="00F06952"/>
    <w:rsid w:val="00F06BB0"/>
    <w:rsid w:val="00F06CFF"/>
    <w:rsid w:val="00F10D8C"/>
    <w:rsid w:val="00F12262"/>
    <w:rsid w:val="00F12392"/>
    <w:rsid w:val="00F129A9"/>
    <w:rsid w:val="00F12E31"/>
    <w:rsid w:val="00F13313"/>
    <w:rsid w:val="00F13D95"/>
    <w:rsid w:val="00F1469F"/>
    <w:rsid w:val="00F146EE"/>
    <w:rsid w:val="00F14E16"/>
    <w:rsid w:val="00F14E66"/>
    <w:rsid w:val="00F15CD8"/>
    <w:rsid w:val="00F167BB"/>
    <w:rsid w:val="00F178FC"/>
    <w:rsid w:val="00F17B96"/>
    <w:rsid w:val="00F21EBB"/>
    <w:rsid w:val="00F2265D"/>
    <w:rsid w:val="00F2362A"/>
    <w:rsid w:val="00F23766"/>
    <w:rsid w:val="00F23C90"/>
    <w:rsid w:val="00F23CF7"/>
    <w:rsid w:val="00F249EE"/>
    <w:rsid w:val="00F26719"/>
    <w:rsid w:val="00F26D6E"/>
    <w:rsid w:val="00F27292"/>
    <w:rsid w:val="00F277A8"/>
    <w:rsid w:val="00F27C7A"/>
    <w:rsid w:val="00F304E3"/>
    <w:rsid w:val="00F316AB"/>
    <w:rsid w:val="00F31A82"/>
    <w:rsid w:val="00F31EE4"/>
    <w:rsid w:val="00F322CB"/>
    <w:rsid w:val="00F3268C"/>
    <w:rsid w:val="00F32D5A"/>
    <w:rsid w:val="00F33630"/>
    <w:rsid w:val="00F33C68"/>
    <w:rsid w:val="00F343BD"/>
    <w:rsid w:val="00F350C4"/>
    <w:rsid w:val="00F353F0"/>
    <w:rsid w:val="00F35C61"/>
    <w:rsid w:val="00F36176"/>
    <w:rsid w:val="00F3654F"/>
    <w:rsid w:val="00F369A8"/>
    <w:rsid w:val="00F36A60"/>
    <w:rsid w:val="00F377E5"/>
    <w:rsid w:val="00F379CE"/>
    <w:rsid w:val="00F37B1E"/>
    <w:rsid w:val="00F402E3"/>
    <w:rsid w:val="00F40F35"/>
    <w:rsid w:val="00F4139D"/>
    <w:rsid w:val="00F41D3F"/>
    <w:rsid w:val="00F42250"/>
    <w:rsid w:val="00F42C8A"/>
    <w:rsid w:val="00F42DCD"/>
    <w:rsid w:val="00F42FB8"/>
    <w:rsid w:val="00F43562"/>
    <w:rsid w:val="00F449DA"/>
    <w:rsid w:val="00F44A49"/>
    <w:rsid w:val="00F456EF"/>
    <w:rsid w:val="00F45D41"/>
    <w:rsid w:val="00F466DB"/>
    <w:rsid w:val="00F46E3E"/>
    <w:rsid w:val="00F46E7F"/>
    <w:rsid w:val="00F477C6"/>
    <w:rsid w:val="00F4791D"/>
    <w:rsid w:val="00F511D2"/>
    <w:rsid w:val="00F513FA"/>
    <w:rsid w:val="00F51DA0"/>
    <w:rsid w:val="00F5204F"/>
    <w:rsid w:val="00F5226D"/>
    <w:rsid w:val="00F52510"/>
    <w:rsid w:val="00F52630"/>
    <w:rsid w:val="00F5273F"/>
    <w:rsid w:val="00F52B41"/>
    <w:rsid w:val="00F534A4"/>
    <w:rsid w:val="00F54CD2"/>
    <w:rsid w:val="00F565A5"/>
    <w:rsid w:val="00F56A69"/>
    <w:rsid w:val="00F6056E"/>
    <w:rsid w:val="00F611BE"/>
    <w:rsid w:val="00F61C7E"/>
    <w:rsid w:val="00F63CEB"/>
    <w:rsid w:val="00F6440E"/>
    <w:rsid w:val="00F64467"/>
    <w:rsid w:val="00F64DE8"/>
    <w:rsid w:val="00F64FD0"/>
    <w:rsid w:val="00F6505F"/>
    <w:rsid w:val="00F66016"/>
    <w:rsid w:val="00F66457"/>
    <w:rsid w:val="00F66B93"/>
    <w:rsid w:val="00F672D8"/>
    <w:rsid w:val="00F67E17"/>
    <w:rsid w:val="00F70562"/>
    <w:rsid w:val="00F70A38"/>
    <w:rsid w:val="00F71713"/>
    <w:rsid w:val="00F71DB7"/>
    <w:rsid w:val="00F72206"/>
    <w:rsid w:val="00F726D2"/>
    <w:rsid w:val="00F72EEC"/>
    <w:rsid w:val="00F73416"/>
    <w:rsid w:val="00F739ED"/>
    <w:rsid w:val="00F7587B"/>
    <w:rsid w:val="00F75975"/>
    <w:rsid w:val="00F7601C"/>
    <w:rsid w:val="00F76443"/>
    <w:rsid w:val="00F77476"/>
    <w:rsid w:val="00F77957"/>
    <w:rsid w:val="00F77D83"/>
    <w:rsid w:val="00F8010E"/>
    <w:rsid w:val="00F80430"/>
    <w:rsid w:val="00F80F4D"/>
    <w:rsid w:val="00F81DD8"/>
    <w:rsid w:val="00F820D0"/>
    <w:rsid w:val="00F8234D"/>
    <w:rsid w:val="00F82F4A"/>
    <w:rsid w:val="00F839E9"/>
    <w:rsid w:val="00F841C5"/>
    <w:rsid w:val="00F84C11"/>
    <w:rsid w:val="00F85348"/>
    <w:rsid w:val="00F85628"/>
    <w:rsid w:val="00F85C0A"/>
    <w:rsid w:val="00F85D5B"/>
    <w:rsid w:val="00F86602"/>
    <w:rsid w:val="00F86FE2"/>
    <w:rsid w:val="00F9019D"/>
    <w:rsid w:val="00F90B1B"/>
    <w:rsid w:val="00F919D0"/>
    <w:rsid w:val="00F9333B"/>
    <w:rsid w:val="00F93C17"/>
    <w:rsid w:val="00F93EDF"/>
    <w:rsid w:val="00F941A9"/>
    <w:rsid w:val="00F94ABC"/>
    <w:rsid w:val="00F95331"/>
    <w:rsid w:val="00F95391"/>
    <w:rsid w:val="00F959CC"/>
    <w:rsid w:val="00F95AD6"/>
    <w:rsid w:val="00F95EBA"/>
    <w:rsid w:val="00F96100"/>
    <w:rsid w:val="00F9631C"/>
    <w:rsid w:val="00F96467"/>
    <w:rsid w:val="00F96481"/>
    <w:rsid w:val="00F966DF"/>
    <w:rsid w:val="00F970AE"/>
    <w:rsid w:val="00F972CB"/>
    <w:rsid w:val="00F975D5"/>
    <w:rsid w:val="00F977BF"/>
    <w:rsid w:val="00F97F15"/>
    <w:rsid w:val="00FA017C"/>
    <w:rsid w:val="00FA0AE3"/>
    <w:rsid w:val="00FA1536"/>
    <w:rsid w:val="00FA15DE"/>
    <w:rsid w:val="00FA202F"/>
    <w:rsid w:val="00FA2422"/>
    <w:rsid w:val="00FA2613"/>
    <w:rsid w:val="00FA32D6"/>
    <w:rsid w:val="00FA429A"/>
    <w:rsid w:val="00FA5226"/>
    <w:rsid w:val="00FA5361"/>
    <w:rsid w:val="00FA5735"/>
    <w:rsid w:val="00FA57DC"/>
    <w:rsid w:val="00FA5C5D"/>
    <w:rsid w:val="00FA60A4"/>
    <w:rsid w:val="00FA6DE5"/>
    <w:rsid w:val="00FA7519"/>
    <w:rsid w:val="00FA7665"/>
    <w:rsid w:val="00FA7CFC"/>
    <w:rsid w:val="00FB02BF"/>
    <w:rsid w:val="00FB111D"/>
    <w:rsid w:val="00FB21E3"/>
    <w:rsid w:val="00FB326A"/>
    <w:rsid w:val="00FB379B"/>
    <w:rsid w:val="00FB40A0"/>
    <w:rsid w:val="00FB4B21"/>
    <w:rsid w:val="00FB569B"/>
    <w:rsid w:val="00FB5AEA"/>
    <w:rsid w:val="00FB6283"/>
    <w:rsid w:val="00FB63C2"/>
    <w:rsid w:val="00FB7721"/>
    <w:rsid w:val="00FC0400"/>
    <w:rsid w:val="00FC06BC"/>
    <w:rsid w:val="00FC179C"/>
    <w:rsid w:val="00FC1930"/>
    <w:rsid w:val="00FC2316"/>
    <w:rsid w:val="00FC23F3"/>
    <w:rsid w:val="00FC3008"/>
    <w:rsid w:val="00FC31EF"/>
    <w:rsid w:val="00FC3300"/>
    <w:rsid w:val="00FC3FB0"/>
    <w:rsid w:val="00FC4521"/>
    <w:rsid w:val="00FC4523"/>
    <w:rsid w:val="00FC466E"/>
    <w:rsid w:val="00FC4B88"/>
    <w:rsid w:val="00FC520C"/>
    <w:rsid w:val="00FC54C7"/>
    <w:rsid w:val="00FC5FBE"/>
    <w:rsid w:val="00FC6884"/>
    <w:rsid w:val="00FC6B80"/>
    <w:rsid w:val="00FC6CDE"/>
    <w:rsid w:val="00FD0FB7"/>
    <w:rsid w:val="00FD1EEF"/>
    <w:rsid w:val="00FD1F69"/>
    <w:rsid w:val="00FD26C8"/>
    <w:rsid w:val="00FD3B36"/>
    <w:rsid w:val="00FD4076"/>
    <w:rsid w:val="00FD562D"/>
    <w:rsid w:val="00FD5BD7"/>
    <w:rsid w:val="00FD623E"/>
    <w:rsid w:val="00FD6F16"/>
    <w:rsid w:val="00FE03FA"/>
    <w:rsid w:val="00FE07A6"/>
    <w:rsid w:val="00FE17BD"/>
    <w:rsid w:val="00FE1F05"/>
    <w:rsid w:val="00FE578A"/>
    <w:rsid w:val="00FE5875"/>
    <w:rsid w:val="00FE5CAE"/>
    <w:rsid w:val="00FE5CCC"/>
    <w:rsid w:val="00FE683F"/>
    <w:rsid w:val="00FE6913"/>
    <w:rsid w:val="00FE6A24"/>
    <w:rsid w:val="00FE77BD"/>
    <w:rsid w:val="00FE7EC0"/>
    <w:rsid w:val="00FF1198"/>
    <w:rsid w:val="00FF1786"/>
    <w:rsid w:val="00FF178E"/>
    <w:rsid w:val="00FF230D"/>
    <w:rsid w:val="00FF2C75"/>
    <w:rsid w:val="00FF3D64"/>
    <w:rsid w:val="00FF4A75"/>
    <w:rsid w:val="00FF5296"/>
    <w:rsid w:val="00FF66C6"/>
    <w:rsid w:val="00FF6F19"/>
    <w:rsid w:val="00FF7B04"/>
    <w:rsid w:val="00FF7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8951B8"/>
  <w15:docId w15:val="{903675EB-AF51-4759-B7EB-A17037093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20DC"/>
    <w:pPr>
      <w:spacing w:line="260" w:lineRule="exact"/>
      <w:jc w:val="both"/>
    </w:pPr>
    <w:rPr>
      <w:rFonts w:ascii="Garamond" w:hAnsi="Garamond"/>
      <w:kern w:val="16"/>
      <w:sz w:val="24"/>
      <w:szCs w:val="22"/>
      <w14:ligatures w14:val="standardContextual"/>
      <w14:numForm w14:val="oldStyle"/>
      <w14:numSpacing w14:val="proportional"/>
      <w14:cntxtAlts/>
    </w:rPr>
  </w:style>
  <w:style w:type="paragraph" w:styleId="Heading1">
    <w:name w:val="heading 1"/>
    <w:basedOn w:val="Normal"/>
    <w:next w:val="Normal"/>
    <w:link w:val="Heading1Char"/>
    <w:autoRedefine/>
    <w:uiPriority w:val="9"/>
    <w:qFormat/>
    <w:rsid w:val="00D36684"/>
    <w:pPr>
      <w:keepNext/>
      <w:numPr>
        <w:numId w:val="1"/>
      </w:numPr>
      <w:tabs>
        <w:tab w:val="left" w:pos="360"/>
      </w:tabs>
      <w:spacing w:before="280" w:after="160" w:line="280" w:lineRule="exact"/>
      <w:jc w:val="center"/>
      <w:outlineLvl w:val="0"/>
    </w:pPr>
    <w:rPr>
      <w:b/>
      <w:bCs/>
      <w:smallCaps/>
      <w:spacing w:val="20"/>
    </w:rPr>
  </w:style>
  <w:style w:type="paragraph" w:styleId="Heading2">
    <w:name w:val="heading 2"/>
    <w:basedOn w:val="Normal"/>
    <w:next w:val="MainBody"/>
    <w:link w:val="Heading2Char"/>
    <w:autoRedefine/>
    <w:uiPriority w:val="9"/>
    <w:unhideWhenUsed/>
    <w:qFormat/>
    <w:rsid w:val="00D36684"/>
    <w:pPr>
      <w:keepNext/>
      <w:numPr>
        <w:ilvl w:val="1"/>
        <w:numId w:val="1"/>
      </w:numPr>
      <w:tabs>
        <w:tab w:val="clear" w:pos="450"/>
        <w:tab w:val="num" w:pos="3240"/>
      </w:tabs>
      <w:spacing w:before="280" w:after="160" w:line="280" w:lineRule="exact"/>
      <w:ind w:left="360"/>
      <w:outlineLvl w:val="1"/>
    </w:pPr>
    <w:rPr>
      <w:i/>
    </w:rPr>
  </w:style>
  <w:style w:type="paragraph" w:styleId="Heading3">
    <w:name w:val="heading 3"/>
    <w:basedOn w:val="Normal"/>
    <w:next w:val="Normal"/>
    <w:link w:val="Heading3Char"/>
    <w:autoRedefine/>
    <w:uiPriority w:val="9"/>
    <w:unhideWhenUsed/>
    <w:qFormat/>
    <w:rsid w:val="00F020DC"/>
    <w:pPr>
      <w:keepNext/>
      <w:keepLines/>
      <w:numPr>
        <w:ilvl w:val="2"/>
        <w:numId w:val="1"/>
      </w:numPr>
      <w:spacing w:before="280" w:after="160" w:line="280" w:lineRule="exact"/>
      <w:outlineLvl w:val="2"/>
    </w:pPr>
    <w:rPr>
      <w:rFonts w:eastAsiaTheme="majorEastAsia" w:cstheme="majorBidi"/>
      <w:i/>
      <w:iCs/>
    </w:rPr>
  </w:style>
  <w:style w:type="paragraph" w:styleId="Heading4">
    <w:name w:val="heading 4"/>
    <w:basedOn w:val="Normal"/>
    <w:next w:val="Normal"/>
    <w:link w:val="Heading4Char"/>
    <w:uiPriority w:val="9"/>
    <w:unhideWhenUsed/>
    <w:qFormat/>
    <w:rsid w:val="0048278F"/>
    <w:pPr>
      <w:keepNext/>
      <w:keepLines/>
      <w:numPr>
        <w:ilvl w:val="3"/>
        <w:numId w:val="1"/>
      </w:numPr>
      <w:spacing w:before="270" w:after="270" w:line="270" w:lineRule="exact"/>
      <w:outlineLvl w:val="3"/>
    </w:pPr>
    <w:rPr>
      <w:rFonts w:eastAsiaTheme="majorEastAsia" w:cstheme="majorBidi"/>
      <w:i/>
      <w:iCs/>
    </w:rPr>
  </w:style>
  <w:style w:type="paragraph" w:styleId="Heading5">
    <w:name w:val="heading 5"/>
    <w:basedOn w:val="Normal"/>
    <w:next w:val="Normal"/>
    <w:link w:val="Heading5Char"/>
    <w:uiPriority w:val="9"/>
    <w:unhideWhenUsed/>
    <w:qFormat/>
    <w:rsid w:val="0048278F"/>
    <w:pPr>
      <w:keepNext/>
      <w:keepLines/>
      <w:numPr>
        <w:ilvl w:val="4"/>
        <w:numId w:val="1"/>
      </w:numPr>
      <w:spacing w:before="270" w:after="270" w:line="270" w:lineRule="exact"/>
      <w:outlineLvl w:val="4"/>
    </w:pPr>
    <w:rPr>
      <w:rFonts w:eastAsiaTheme="majorEastAsia" w:cstheme="majorBidi"/>
      <w:i/>
      <w:iCs/>
    </w:rPr>
  </w:style>
  <w:style w:type="paragraph" w:styleId="Heading6">
    <w:name w:val="heading 6"/>
    <w:basedOn w:val="Normal"/>
    <w:next w:val="Normal"/>
    <w:link w:val="Heading6Char"/>
    <w:uiPriority w:val="9"/>
    <w:unhideWhenUsed/>
    <w:qFormat/>
    <w:rsid w:val="0048278F"/>
    <w:pPr>
      <w:keepNext/>
      <w:keepLines/>
      <w:numPr>
        <w:ilvl w:val="5"/>
        <w:numId w:val="1"/>
      </w:numPr>
      <w:spacing w:before="270" w:after="270" w:line="270" w:lineRule="exact"/>
      <w:outlineLvl w:val="5"/>
    </w:pPr>
    <w:rPr>
      <w:rFonts w:eastAsiaTheme="majorEastAsia" w:cstheme="majorBidi"/>
      <w:i/>
      <w:iCs/>
    </w:rPr>
  </w:style>
  <w:style w:type="paragraph" w:styleId="Heading7">
    <w:name w:val="heading 7"/>
    <w:basedOn w:val="Normal"/>
    <w:next w:val="Normal"/>
    <w:link w:val="Heading7Char"/>
    <w:uiPriority w:val="9"/>
    <w:unhideWhenUsed/>
    <w:qFormat/>
    <w:rsid w:val="007430DA"/>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30DA"/>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430DA"/>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4CD"/>
    <w:pPr>
      <w:tabs>
        <w:tab w:val="center" w:pos="3384"/>
        <w:tab w:val="right" w:pos="6754"/>
      </w:tabs>
      <w:spacing w:line="220" w:lineRule="exact"/>
    </w:pPr>
    <w:rPr>
      <w:smallCaps/>
      <w:sz w:val="18"/>
      <w:szCs w:val="18"/>
    </w:rPr>
  </w:style>
  <w:style w:type="character" w:customStyle="1" w:styleId="HeaderChar">
    <w:name w:val="Header Char"/>
    <w:link w:val="Header"/>
    <w:uiPriority w:val="99"/>
    <w:rsid w:val="004604CD"/>
    <w:rPr>
      <w:rFonts w:ascii="ITC Galliard Std" w:hAnsi="ITC Galliard Std"/>
      <w:smallCaps/>
      <w:kern w:val="16"/>
      <w:sz w:val="18"/>
      <w:szCs w:val="18"/>
      <w14:ligatures w14:val="standardContextual"/>
      <w14:numForm w14:val="oldStyle"/>
      <w14:numSpacing w14:val="proportional"/>
    </w:rPr>
  </w:style>
  <w:style w:type="paragraph" w:styleId="Footer">
    <w:name w:val="footer"/>
    <w:basedOn w:val="Normal"/>
    <w:link w:val="FooterChar"/>
    <w:uiPriority w:val="99"/>
    <w:unhideWhenUsed/>
    <w:rsid w:val="0048278F"/>
    <w:pPr>
      <w:tabs>
        <w:tab w:val="center" w:pos="4320"/>
        <w:tab w:val="right" w:pos="8640"/>
      </w:tabs>
    </w:pPr>
    <w:rPr>
      <w:sz w:val="18"/>
      <w:szCs w:val="18"/>
    </w:rPr>
  </w:style>
  <w:style w:type="character" w:customStyle="1" w:styleId="FooterChar">
    <w:name w:val="Footer Char"/>
    <w:link w:val="Footer"/>
    <w:uiPriority w:val="99"/>
    <w:rsid w:val="0048278F"/>
    <w:rPr>
      <w:rFonts w:ascii="ITC Galliard Pro" w:hAnsi="ITC Galliard Pro"/>
      <w:kern w:val="16"/>
      <w:sz w:val="18"/>
      <w:szCs w:val="18"/>
      <w14:ligatures w14:val="standardContextual"/>
      <w14:numForm w14:val="oldStyle"/>
      <w14:numSpacing w14:val="proportional"/>
      <w14:cntxtAlts/>
    </w:rPr>
  </w:style>
  <w:style w:type="paragraph" w:customStyle="1" w:styleId="BodyText">
    <w:name w:val="BodyText"/>
    <w:basedOn w:val="Normal"/>
    <w:qFormat/>
    <w:rsid w:val="00972061"/>
    <w:pPr>
      <w:spacing w:line="280" w:lineRule="exact"/>
      <w:ind w:firstLine="360"/>
    </w:pPr>
    <w:rPr>
      <w:rFonts w:ascii="Equity Text A" w:hAnsi="Equity Text A"/>
    </w:rPr>
  </w:style>
  <w:style w:type="paragraph" w:styleId="FootnoteText">
    <w:name w:val="footnote text"/>
    <w:basedOn w:val="Normal"/>
    <w:link w:val="FootnoteTextChar"/>
    <w:autoRedefine/>
    <w:uiPriority w:val="99"/>
    <w:unhideWhenUsed/>
    <w:rsid w:val="00C42F90"/>
    <w:pPr>
      <w:spacing w:after="40" w:line="220" w:lineRule="exact"/>
      <w:ind w:right="144" w:firstLine="360"/>
    </w:pPr>
    <w:rPr>
      <w:sz w:val="18"/>
      <w:szCs w:val="18"/>
    </w:rPr>
  </w:style>
  <w:style w:type="character" w:customStyle="1" w:styleId="FootnoteTextChar">
    <w:name w:val="Footnote Text Char"/>
    <w:link w:val="FootnoteText"/>
    <w:uiPriority w:val="99"/>
    <w:rsid w:val="00C42F90"/>
    <w:rPr>
      <w:rFonts w:ascii="Garamond" w:hAnsi="Garamond"/>
      <w:kern w:val="16"/>
      <w:sz w:val="18"/>
      <w:szCs w:val="18"/>
      <w14:ligatures w14:val="standardContextual"/>
      <w14:numForm w14:val="oldStyle"/>
      <w14:numSpacing w14:val="proportional"/>
      <w14:cntxtAlts/>
    </w:rPr>
  </w:style>
  <w:style w:type="character" w:styleId="FootnoteReference">
    <w:name w:val="footnote reference"/>
    <w:aliases w:val="a Footnote Reference,fr"/>
    <w:uiPriority w:val="99"/>
    <w:unhideWhenUsed/>
    <w:rsid w:val="00972061"/>
    <w:rPr>
      <w:rFonts w:ascii="Equity Text A" w:hAnsi="Equity Text A"/>
      <w:vertAlign w:val="superscript"/>
      <w14:ligatures w14:val="standardContextual"/>
      <w14:numForm w14:val="oldStyle"/>
      <w14:numSpacing w14:val="proportional"/>
    </w:rPr>
  </w:style>
  <w:style w:type="character" w:customStyle="1" w:styleId="Heading1Char">
    <w:name w:val="Heading 1 Char"/>
    <w:basedOn w:val="DefaultParagraphFont"/>
    <w:link w:val="Heading1"/>
    <w:uiPriority w:val="9"/>
    <w:rsid w:val="00D36684"/>
    <w:rPr>
      <w:rFonts w:ascii="Garamond" w:hAnsi="Garamond"/>
      <w:b/>
      <w:bCs/>
      <w:smallCaps/>
      <w:spacing w:val="20"/>
      <w:kern w:val="16"/>
      <w:sz w:val="24"/>
      <w:szCs w:val="22"/>
      <w14:ligatures w14:val="standardContextual"/>
      <w14:numForm w14:val="oldStyle"/>
      <w14:numSpacing w14:val="proportional"/>
      <w14:cntxtAlts/>
    </w:rPr>
  </w:style>
  <w:style w:type="character" w:customStyle="1" w:styleId="Heading2Char">
    <w:name w:val="Heading 2 Char"/>
    <w:basedOn w:val="DefaultParagraphFont"/>
    <w:link w:val="Heading2"/>
    <w:uiPriority w:val="9"/>
    <w:rsid w:val="00D36684"/>
    <w:rPr>
      <w:rFonts w:ascii="Garamond" w:hAnsi="Garamond"/>
      <w:i/>
      <w:kern w:val="16"/>
      <w:sz w:val="24"/>
      <w:szCs w:val="22"/>
      <w14:ligatures w14:val="standardContextual"/>
      <w14:numForm w14:val="oldStyle"/>
      <w14:numSpacing w14:val="proportional"/>
      <w14:cntxtAlts/>
    </w:rPr>
  </w:style>
  <w:style w:type="paragraph" w:customStyle="1" w:styleId="Introduction-Conclusion">
    <w:name w:val="Introduction-Conclusion"/>
    <w:basedOn w:val="Heading1"/>
    <w:next w:val="BodyText"/>
    <w:qFormat/>
    <w:rsid w:val="00972061"/>
    <w:pPr>
      <w:numPr>
        <w:numId w:val="0"/>
      </w:numPr>
      <w:spacing w:before="320" w:after="280"/>
    </w:pPr>
  </w:style>
  <w:style w:type="paragraph" w:styleId="Title">
    <w:name w:val="Title"/>
    <w:basedOn w:val="Normal"/>
    <w:next w:val="Spacer"/>
    <w:link w:val="TitleChar"/>
    <w:uiPriority w:val="10"/>
    <w:qFormat/>
    <w:rsid w:val="00972061"/>
    <w:pPr>
      <w:spacing w:before="662" w:line="420" w:lineRule="exact"/>
      <w:jc w:val="center"/>
    </w:pPr>
    <w:rPr>
      <w:rFonts w:ascii="Equity Text A" w:hAnsi="Equity Text A"/>
      <w:sz w:val="32"/>
      <w:szCs w:val="32"/>
    </w:rPr>
  </w:style>
  <w:style w:type="character" w:customStyle="1" w:styleId="TitleChar">
    <w:name w:val="Title Char"/>
    <w:basedOn w:val="DefaultParagraphFont"/>
    <w:link w:val="Title"/>
    <w:uiPriority w:val="10"/>
    <w:rsid w:val="00972061"/>
    <w:rPr>
      <w:rFonts w:ascii="Equity Text A" w:hAnsi="Equity Text A"/>
      <w:kern w:val="16"/>
      <w:sz w:val="32"/>
      <w:szCs w:val="32"/>
      <w14:ligatures w14:val="standardContextual"/>
      <w14:numForm w14:val="oldStyle"/>
      <w14:numSpacing w14:val="proportional"/>
      <w14:cntxtAlts/>
    </w:rPr>
  </w:style>
  <w:style w:type="paragraph" w:customStyle="1" w:styleId="Spacer">
    <w:name w:val="Spacer"/>
    <w:basedOn w:val="Normal"/>
    <w:qFormat/>
    <w:rsid w:val="004604CD"/>
    <w:pPr>
      <w:spacing w:line="420" w:lineRule="exact"/>
      <w:ind w:firstLine="360"/>
      <w:jc w:val="center"/>
    </w:pPr>
  </w:style>
  <w:style w:type="paragraph" w:customStyle="1" w:styleId="Author">
    <w:name w:val="Author"/>
    <w:basedOn w:val="Normal"/>
    <w:next w:val="Spacer"/>
    <w:qFormat/>
    <w:rsid w:val="00972061"/>
    <w:pPr>
      <w:spacing w:before="420" w:after="420"/>
      <w:jc w:val="center"/>
    </w:pPr>
    <w:rPr>
      <w:rFonts w:ascii="Equity Text A" w:hAnsi="Equity Text A"/>
      <w:smallCaps/>
      <w:spacing w:val="30"/>
    </w:rPr>
  </w:style>
  <w:style w:type="paragraph" w:customStyle="1" w:styleId="Abstract">
    <w:name w:val="Abstract"/>
    <w:basedOn w:val="Normal"/>
    <w:next w:val="BodyText"/>
    <w:qFormat/>
    <w:rsid w:val="00972061"/>
    <w:pPr>
      <w:ind w:left="360" w:right="360" w:firstLine="360"/>
    </w:pPr>
    <w:rPr>
      <w:rFonts w:ascii="Equity Text A" w:hAnsi="Equity Text A"/>
      <w:iCs/>
      <w:sz w:val="20"/>
      <w:szCs w:val="20"/>
    </w:rPr>
  </w:style>
  <w:style w:type="character" w:customStyle="1" w:styleId="Heading3Char">
    <w:name w:val="Heading 3 Char"/>
    <w:basedOn w:val="DefaultParagraphFont"/>
    <w:link w:val="Heading3"/>
    <w:uiPriority w:val="9"/>
    <w:rsid w:val="00F020DC"/>
    <w:rPr>
      <w:rFonts w:ascii="Garamond" w:eastAsiaTheme="majorEastAsia" w:hAnsi="Garamond" w:cstheme="majorBidi"/>
      <w:i/>
      <w:iCs/>
      <w:kern w:val="16"/>
      <w:sz w:val="22"/>
      <w:szCs w:val="22"/>
      <w14:ligatures w14:val="standardContextual"/>
      <w14:numForm w14:val="oldStyle"/>
      <w14:numSpacing w14:val="proportional"/>
      <w14:cntxtAlts/>
    </w:rPr>
  </w:style>
  <w:style w:type="character" w:customStyle="1" w:styleId="Heading4Char">
    <w:name w:val="Heading 4 Char"/>
    <w:basedOn w:val="DefaultParagraphFont"/>
    <w:link w:val="Heading4"/>
    <w:uiPriority w:val="9"/>
    <w:rsid w:val="0048278F"/>
    <w:rPr>
      <w:rFonts w:ascii="ITC Galliard Pro" w:eastAsiaTheme="majorEastAsia" w:hAnsi="ITC Galliard Pro" w:cstheme="majorBidi"/>
      <w:i/>
      <w:iCs/>
      <w:kern w:val="16"/>
      <w:sz w:val="22"/>
      <w:szCs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rsid w:val="0048278F"/>
    <w:rPr>
      <w:rFonts w:ascii="ITC Galliard Pro" w:eastAsiaTheme="majorEastAsia" w:hAnsi="ITC Galliard Pro" w:cstheme="majorBidi"/>
      <w:i/>
      <w:iCs/>
      <w:kern w:val="16"/>
      <w:sz w:val="22"/>
      <w:szCs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rsid w:val="0048278F"/>
    <w:rPr>
      <w:rFonts w:ascii="ITC Galliard Pro" w:eastAsiaTheme="majorEastAsia" w:hAnsi="ITC Galliard Pro" w:cstheme="majorBidi"/>
      <w:i/>
      <w:iCs/>
      <w:kern w:val="16"/>
      <w:sz w:val="22"/>
      <w:szCs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rsid w:val="007430DA"/>
    <w:rPr>
      <w:rFonts w:asciiTheme="majorHAnsi" w:eastAsiaTheme="majorEastAsia" w:hAnsiTheme="majorHAnsi" w:cstheme="majorBidi"/>
      <w:i/>
      <w:iCs/>
      <w:color w:val="404040" w:themeColor="text1" w:themeTint="BF"/>
      <w:kern w:val="16"/>
      <w:sz w:val="22"/>
      <w:szCs w:val="22"/>
      <w14:ligatures w14:val="standardContextual"/>
      <w14:numForm w14:val="oldStyle"/>
      <w14:numSpacing w14:val="proportional"/>
    </w:rPr>
  </w:style>
  <w:style w:type="character" w:customStyle="1" w:styleId="Heading8Char">
    <w:name w:val="Heading 8 Char"/>
    <w:basedOn w:val="DefaultParagraphFont"/>
    <w:link w:val="Heading8"/>
    <w:uiPriority w:val="9"/>
    <w:semiHidden/>
    <w:rsid w:val="007430DA"/>
    <w:rPr>
      <w:rFonts w:asciiTheme="majorHAnsi" w:eastAsiaTheme="majorEastAsia" w:hAnsiTheme="majorHAnsi" w:cstheme="majorBidi"/>
      <w:color w:val="404040" w:themeColor="text1" w:themeTint="BF"/>
      <w:kern w:val="16"/>
      <w14:ligatures w14:val="standardContextual"/>
      <w14:numForm w14:val="oldStyle"/>
      <w14:numSpacing w14:val="proportional"/>
    </w:rPr>
  </w:style>
  <w:style w:type="character" w:customStyle="1" w:styleId="Heading9Char">
    <w:name w:val="Heading 9 Char"/>
    <w:basedOn w:val="DefaultParagraphFont"/>
    <w:link w:val="Heading9"/>
    <w:uiPriority w:val="9"/>
    <w:semiHidden/>
    <w:rsid w:val="007430DA"/>
    <w:rPr>
      <w:rFonts w:asciiTheme="majorHAnsi" w:eastAsiaTheme="majorEastAsia" w:hAnsiTheme="majorHAnsi" w:cstheme="majorBidi"/>
      <w:i/>
      <w:iCs/>
      <w:color w:val="404040" w:themeColor="text1" w:themeTint="BF"/>
      <w:kern w:val="16"/>
      <w14:ligatures w14:val="standardContextual"/>
      <w14:numForm w14:val="oldStyle"/>
      <w14:numSpacing w14:val="proportional"/>
    </w:rPr>
  </w:style>
  <w:style w:type="paragraph" w:customStyle="1" w:styleId="BlockQuote-1">
    <w:name w:val="BlockQuote-1"/>
    <w:basedOn w:val="BodyText"/>
    <w:next w:val="BodyText"/>
    <w:qFormat/>
    <w:rsid w:val="000F25B8"/>
    <w:pPr>
      <w:spacing w:before="120" w:after="120" w:line="240" w:lineRule="exact"/>
      <w:ind w:left="360" w:right="360" w:firstLine="0"/>
    </w:pPr>
    <w:rPr>
      <w:sz w:val="20"/>
      <w:szCs w:val="20"/>
    </w:rPr>
  </w:style>
  <w:style w:type="paragraph" w:customStyle="1" w:styleId="BlockQuote-Begin">
    <w:name w:val="BlockQuote-Begin"/>
    <w:basedOn w:val="BlockQuote-1"/>
    <w:next w:val="BlockQuote-Continue"/>
    <w:qFormat/>
    <w:rsid w:val="000F25B8"/>
    <w:pPr>
      <w:spacing w:after="0"/>
      <w:ind w:firstLine="360"/>
    </w:pPr>
  </w:style>
  <w:style w:type="paragraph" w:customStyle="1" w:styleId="BlockQuote-Continue">
    <w:name w:val="BlockQuote-Continue"/>
    <w:basedOn w:val="BlockQuote-Begin"/>
    <w:qFormat/>
    <w:rsid w:val="000F25B8"/>
    <w:pPr>
      <w:spacing w:before="0"/>
    </w:pPr>
  </w:style>
  <w:style w:type="paragraph" w:customStyle="1" w:styleId="BlockQuote-End">
    <w:name w:val="BlockQuote-End"/>
    <w:basedOn w:val="BlockQuote-Begin"/>
    <w:next w:val="BodyText"/>
    <w:qFormat/>
    <w:rsid w:val="00C17703"/>
    <w:pPr>
      <w:spacing w:before="0" w:after="120"/>
    </w:pPr>
  </w:style>
  <w:style w:type="paragraph" w:styleId="BalloonText">
    <w:name w:val="Balloon Text"/>
    <w:basedOn w:val="Normal"/>
    <w:link w:val="BalloonTextChar"/>
    <w:unhideWhenUsed/>
    <w:rsid w:val="008A277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A277D"/>
    <w:rPr>
      <w:rFonts w:ascii="Tahoma" w:hAnsi="Tahoma" w:cs="Tahoma"/>
      <w:kern w:val="16"/>
      <w:sz w:val="16"/>
      <w:szCs w:val="16"/>
      <w14:ligatures w14:val="standardContextual"/>
      <w14:numForm w14:val="oldStyle"/>
      <w14:numSpacing w14:val="proportional"/>
      <w14:cntxtAlts/>
    </w:rPr>
  </w:style>
  <w:style w:type="paragraph" w:styleId="ListBullet">
    <w:name w:val="List Bullet"/>
    <w:basedOn w:val="Normal"/>
    <w:uiPriority w:val="99"/>
    <w:unhideWhenUsed/>
    <w:rsid w:val="006749A0"/>
    <w:pPr>
      <w:numPr>
        <w:numId w:val="11"/>
      </w:numPr>
      <w:contextualSpacing/>
    </w:pPr>
  </w:style>
  <w:style w:type="paragraph" w:styleId="TOCHeading">
    <w:name w:val="TOC Heading"/>
    <w:basedOn w:val="Heading1"/>
    <w:next w:val="Normal"/>
    <w:uiPriority w:val="39"/>
    <w:unhideWhenUsed/>
    <w:qFormat/>
    <w:rsid w:val="00972061"/>
    <w:pPr>
      <w:keepLines/>
      <w:numPr>
        <w:numId w:val="0"/>
      </w:numPr>
      <w:tabs>
        <w:tab w:val="clear" w:pos="360"/>
      </w:tabs>
      <w:spacing w:before="480" w:after="0" w:line="276" w:lineRule="auto"/>
      <w:jc w:val="left"/>
      <w:outlineLvl w:val="9"/>
    </w:pPr>
    <w:rPr>
      <w:rFonts w:eastAsiaTheme="majorEastAsia" w:cstheme="majorBidi"/>
      <w:smallCaps w:val="0"/>
      <w:spacing w:val="0"/>
      <w:kern w:val="0"/>
      <w:sz w:val="28"/>
      <w:szCs w:val="28"/>
      <w14:ligatures w14:val="none"/>
      <w14:numForm w14:val="default"/>
      <w14:numSpacing w14:val="default"/>
      <w14:cntxtAlts w14:val="0"/>
    </w:rPr>
  </w:style>
  <w:style w:type="paragraph" w:styleId="TOC1">
    <w:name w:val="toc 1"/>
    <w:basedOn w:val="Normal"/>
    <w:next w:val="Normal"/>
    <w:autoRedefine/>
    <w:uiPriority w:val="39"/>
    <w:unhideWhenUsed/>
    <w:rsid w:val="00C970E8"/>
    <w:pPr>
      <w:tabs>
        <w:tab w:val="left" w:pos="446"/>
        <w:tab w:val="right" w:leader="dot" w:pos="6714"/>
      </w:tabs>
      <w:spacing w:before="120" w:line="280" w:lineRule="exact"/>
      <w:jc w:val="left"/>
    </w:pPr>
    <w:rPr>
      <w:rFonts w:ascii="Equity Text A" w:hAnsi="Equity Text A"/>
      <w:szCs w:val="24"/>
    </w:rPr>
  </w:style>
  <w:style w:type="paragraph" w:styleId="TOC2">
    <w:name w:val="toc 2"/>
    <w:basedOn w:val="Normal"/>
    <w:next w:val="Normal"/>
    <w:autoRedefine/>
    <w:uiPriority w:val="39"/>
    <w:unhideWhenUsed/>
    <w:rsid w:val="008576BF"/>
    <w:pPr>
      <w:tabs>
        <w:tab w:val="left" w:pos="660"/>
        <w:tab w:val="right" w:leader="dot" w:pos="6714"/>
      </w:tabs>
      <w:spacing w:before="120" w:line="280" w:lineRule="exact"/>
      <w:ind w:left="216"/>
      <w:jc w:val="left"/>
    </w:pPr>
    <w:rPr>
      <w:rFonts w:ascii="Equity Text A" w:hAnsi="Equity Text A"/>
    </w:rPr>
  </w:style>
  <w:style w:type="paragraph" w:styleId="TOC3">
    <w:name w:val="toc 3"/>
    <w:basedOn w:val="Normal"/>
    <w:next w:val="Normal"/>
    <w:autoRedefine/>
    <w:uiPriority w:val="39"/>
    <w:unhideWhenUsed/>
    <w:rsid w:val="008576BF"/>
    <w:pPr>
      <w:spacing w:before="120" w:line="280" w:lineRule="exact"/>
      <w:ind w:left="446"/>
      <w:jc w:val="left"/>
    </w:pPr>
    <w:rPr>
      <w:rFonts w:ascii="Equity Text A" w:hAnsi="Equity Text A"/>
    </w:rPr>
  </w:style>
  <w:style w:type="paragraph" w:styleId="TOC4">
    <w:name w:val="toc 4"/>
    <w:basedOn w:val="Normal"/>
    <w:next w:val="Normal"/>
    <w:autoRedefine/>
    <w:uiPriority w:val="39"/>
    <w:unhideWhenUsed/>
    <w:rsid w:val="00296202"/>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296202"/>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296202"/>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296202"/>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296202"/>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296202"/>
    <w:pPr>
      <w:ind w:left="1760"/>
      <w:jc w:val="left"/>
    </w:pPr>
    <w:rPr>
      <w:rFonts w:asciiTheme="minorHAnsi" w:hAnsiTheme="minorHAnsi"/>
      <w:sz w:val="20"/>
      <w:szCs w:val="20"/>
    </w:rPr>
  </w:style>
  <w:style w:type="paragraph" w:customStyle="1" w:styleId="BlockQuote-Footnote-1">
    <w:name w:val="BlockQuote-Footnote-1"/>
    <w:basedOn w:val="FootnoteText"/>
    <w:next w:val="FootnoteText"/>
    <w:qFormat/>
    <w:rsid w:val="006A1D90"/>
    <w:pPr>
      <w:spacing w:before="40"/>
      <w:ind w:left="360" w:right="360" w:firstLine="0"/>
    </w:pPr>
  </w:style>
  <w:style w:type="paragraph" w:customStyle="1" w:styleId="BlockQuote-Footnote-End">
    <w:name w:val="BlockQuote-Footnote-End"/>
    <w:basedOn w:val="BlockQuote-Footnote-1"/>
    <w:next w:val="FootnoteText"/>
    <w:qFormat/>
    <w:rsid w:val="004E03E0"/>
    <w:pPr>
      <w:spacing w:before="0"/>
    </w:pPr>
  </w:style>
  <w:style w:type="paragraph" w:customStyle="1" w:styleId="BlockQuote-Footnote-Continue">
    <w:name w:val="BlockQuote-Footnote-Continue"/>
    <w:basedOn w:val="BlockQuote-Footnote-1"/>
    <w:next w:val="BlockQuote-Footnote-End"/>
    <w:qFormat/>
    <w:rsid w:val="004E03E0"/>
    <w:pPr>
      <w:spacing w:before="0" w:after="0"/>
    </w:pPr>
  </w:style>
  <w:style w:type="paragraph" w:customStyle="1" w:styleId="BlockQuote-Footnote-Begin">
    <w:name w:val="BlockQuote-Footnote-Begin"/>
    <w:basedOn w:val="BlockQuote-Footnote-1"/>
    <w:next w:val="BlockQuote-Footnote-Continue"/>
    <w:qFormat/>
    <w:rsid w:val="004E03E0"/>
    <w:pPr>
      <w:spacing w:after="0"/>
    </w:pPr>
  </w:style>
  <w:style w:type="character" w:styleId="CommentReference">
    <w:name w:val="annotation reference"/>
    <w:basedOn w:val="DefaultParagraphFont"/>
    <w:uiPriority w:val="99"/>
    <w:semiHidden/>
    <w:unhideWhenUsed/>
    <w:rsid w:val="006227EA"/>
    <w:rPr>
      <w:sz w:val="16"/>
      <w:szCs w:val="16"/>
    </w:rPr>
  </w:style>
  <w:style w:type="paragraph" w:styleId="CommentText">
    <w:name w:val="annotation text"/>
    <w:basedOn w:val="Normal"/>
    <w:link w:val="CommentTextChar"/>
    <w:uiPriority w:val="99"/>
    <w:unhideWhenUsed/>
    <w:rsid w:val="006227EA"/>
    <w:pPr>
      <w:spacing w:line="240" w:lineRule="auto"/>
    </w:pPr>
    <w:rPr>
      <w:sz w:val="20"/>
      <w:szCs w:val="20"/>
    </w:rPr>
  </w:style>
  <w:style w:type="character" w:customStyle="1" w:styleId="CommentTextChar">
    <w:name w:val="Comment Text Char"/>
    <w:basedOn w:val="DefaultParagraphFont"/>
    <w:link w:val="CommentText"/>
    <w:uiPriority w:val="99"/>
    <w:rsid w:val="006227EA"/>
    <w:rPr>
      <w:rFonts w:ascii="ITC Galliard Pro" w:hAnsi="ITC Galliard Pro"/>
      <w:kern w:val="16"/>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6227EA"/>
    <w:rPr>
      <w:b/>
      <w:bCs/>
    </w:rPr>
  </w:style>
  <w:style w:type="character" w:customStyle="1" w:styleId="CommentSubjectChar">
    <w:name w:val="Comment Subject Char"/>
    <w:basedOn w:val="CommentTextChar"/>
    <w:link w:val="CommentSubject"/>
    <w:uiPriority w:val="99"/>
    <w:semiHidden/>
    <w:rsid w:val="006227EA"/>
    <w:rPr>
      <w:rFonts w:ascii="ITC Galliard Pro" w:hAnsi="ITC Galliard Pro"/>
      <w:b/>
      <w:bCs/>
      <w:kern w:val="16"/>
      <w14:ligatures w14:val="standardContextual"/>
      <w14:numForm w14:val="oldStyle"/>
      <w14:numSpacing w14:val="proportional"/>
      <w14:cntxtAlts/>
    </w:rPr>
  </w:style>
  <w:style w:type="paragraph" w:customStyle="1" w:styleId="MainBody">
    <w:name w:val="Main Body"/>
    <w:basedOn w:val="Normal"/>
    <w:autoRedefine/>
    <w:qFormat/>
    <w:rsid w:val="00515800"/>
    <w:pPr>
      <w:spacing w:before="40" w:line="240" w:lineRule="auto"/>
      <w:ind w:right="36" w:firstLine="360"/>
    </w:pPr>
    <w:rPr>
      <w:rFonts w:eastAsiaTheme="minorHAnsi" w:cstheme="minorBidi"/>
      <w:kern w:val="0"/>
      <w:szCs w:val="24"/>
      <w14:ligatures w14:val="none"/>
      <w14:numSpacing w14:val="default"/>
      <w14:cntxtAlts w14:val="0"/>
    </w:rPr>
  </w:style>
  <w:style w:type="paragraph" w:customStyle="1" w:styleId="Footnote">
    <w:name w:val="Footnote"/>
    <w:basedOn w:val="FootnoteText"/>
    <w:autoRedefine/>
    <w:qFormat/>
    <w:rsid w:val="00CF6D48"/>
    <w:pPr>
      <w:spacing w:after="0" w:line="240" w:lineRule="auto"/>
      <w:ind w:left="1008" w:right="1008" w:firstLine="288"/>
    </w:pPr>
    <w:rPr>
      <w:rFonts w:eastAsiaTheme="minorHAnsi" w:cstheme="minorBidi"/>
      <w:kern w:val="0"/>
      <w:sz w:val="22"/>
      <w:szCs w:val="22"/>
      <w14:ligatures w14:val="none"/>
      <w14:numSpacing w14:val="default"/>
      <w14:cntxtAlts w14:val="0"/>
    </w:rPr>
  </w:style>
  <w:style w:type="paragraph" w:styleId="Quote">
    <w:name w:val="Quote"/>
    <w:basedOn w:val="Normal"/>
    <w:next w:val="Normal"/>
    <w:link w:val="QuoteChar"/>
    <w:uiPriority w:val="29"/>
    <w:qFormat/>
    <w:rsid w:val="00CF6D48"/>
    <w:pPr>
      <w:spacing w:before="200" w:line="240" w:lineRule="auto"/>
      <w:ind w:left="864" w:right="864" w:firstLine="288"/>
      <w:jc w:val="center"/>
    </w:pPr>
    <w:rPr>
      <w:rFonts w:eastAsiaTheme="minorHAnsi" w:cstheme="minorBidi"/>
      <w:i/>
      <w:iCs/>
      <w:color w:val="404040" w:themeColor="text1" w:themeTint="BF"/>
      <w:kern w:val="0"/>
      <w:sz w:val="20"/>
      <w:szCs w:val="20"/>
      <w14:ligatures w14:val="none"/>
      <w14:numSpacing w14:val="default"/>
      <w14:cntxtAlts w14:val="0"/>
    </w:rPr>
  </w:style>
  <w:style w:type="character" w:customStyle="1" w:styleId="QuoteChar">
    <w:name w:val="Quote Char"/>
    <w:basedOn w:val="DefaultParagraphFont"/>
    <w:link w:val="Quote"/>
    <w:uiPriority w:val="29"/>
    <w:rsid w:val="00CF6D48"/>
    <w:rPr>
      <w:rFonts w:ascii="Garamond" w:eastAsiaTheme="minorHAnsi" w:hAnsi="Garamond" w:cstheme="minorBidi"/>
      <w:i/>
      <w:iCs/>
      <w:color w:val="404040" w:themeColor="text1" w:themeTint="BF"/>
      <w14:numForm w14:val="oldStyle"/>
    </w:rPr>
  </w:style>
  <w:style w:type="character" w:styleId="Hyperlink">
    <w:name w:val="Hyperlink"/>
    <w:basedOn w:val="DefaultParagraphFont"/>
    <w:uiPriority w:val="99"/>
    <w:unhideWhenUsed/>
    <w:rsid w:val="00CF6D48"/>
    <w:rPr>
      <w:color w:val="0000FF" w:themeColor="hyperlink"/>
      <w:u w:val="single"/>
    </w:rPr>
  </w:style>
  <w:style w:type="paragraph" w:styleId="ListParagraph">
    <w:name w:val="List Paragraph"/>
    <w:basedOn w:val="Normal"/>
    <w:uiPriority w:val="34"/>
    <w:qFormat/>
    <w:rsid w:val="00972061"/>
    <w:pPr>
      <w:spacing w:after="160" w:line="259" w:lineRule="auto"/>
      <w:ind w:left="720"/>
      <w:contextualSpacing/>
      <w:jc w:val="left"/>
    </w:pPr>
    <w:rPr>
      <w:rFonts w:ascii="Equity Text A" w:eastAsiaTheme="minorHAnsi" w:hAnsi="Equity Text A" w:cstheme="minorBidi"/>
      <w:kern w:val="0"/>
      <w14:ligatures w14:val="none"/>
      <w14:numForm w14:val="default"/>
      <w14:numSpacing w14:val="default"/>
      <w14:cntxtAlts w14:val="0"/>
    </w:rPr>
  </w:style>
  <w:style w:type="character" w:customStyle="1" w:styleId="costarpage">
    <w:name w:val="co_starpage"/>
    <w:basedOn w:val="DefaultParagraphFont"/>
    <w:rsid w:val="00F93EDF"/>
  </w:style>
  <w:style w:type="character" w:styleId="Emphasis">
    <w:name w:val="Emphasis"/>
    <w:basedOn w:val="DefaultParagraphFont"/>
    <w:uiPriority w:val="20"/>
    <w:qFormat/>
    <w:rsid w:val="00A3659D"/>
    <w:rPr>
      <w:i/>
      <w:iCs/>
    </w:rPr>
  </w:style>
  <w:style w:type="paragraph" w:customStyle="1" w:styleId="Document">
    <w:name w:val="_Document"/>
    <w:basedOn w:val="Normal"/>
    <w:link w:val="DocumentChar"/>
    <w:autoRedefine/>
    <w:rsid w:val="00D36684"/>
    <w:pPr>
      <w:widowControl w:val="0"/>
      <w:suppressLineNumbers/>
      <w:tabs>
        <w:tab w:val="left" w:pos="0"/>
        <w:tab w:val="left" w:pos="360"/>
        <w:tab w:val="left" w:pos="620"/>
      </w:tabs>
      <w:spacing w:before="20" w:line="250" w:lineRule="exact"/>
      <w:ind w:firstLine="360"/>
    </w:pPr>
    <w:rPr>
      <w:rFonts w:eastAsia="Times New Roman"/>
      <w:kern w:val="0"/>
      <w:szCs w:val="24"/>
      <w14:ligatures w14:val="none"/>
      <w14:numForm w14:val="default"/>
      <w14:numSpacing w14:val="default"/>
      <w14:cntxtAlts w14:val="0"/>
    </w:rPr>
  </w:style>
  <w:style w:type="character" w:customStyle="1" w:styleId="DocumentChar">
    <w:name w:val="_Document Char"/>
    <w:link w:val="Document"/>
    <w:locked/>
    <w:rsid w:val="00D36684"/>
    <w:rPr>
      <w:rFonts w:ascii="Garamond" w:eastAsia="Times New Roman" w:hAnsi="Garamond"/>
      <w:sz w:val="24"/>
      <w:szCs w:val="24"/>
    </w:rPr>
  </w:style>
  <w:style w:type="paragraph" w:customStyle="1" w:styleId="p1">
    <w:name w:val="p1"/>
    <w:basedOn w:val="Normal"/>
    <w:rsid w:val="00044F9A"/>
    <w:pPr>
      <w:spacing w:line="240" w:lineRule="auto"/>
      <w:jc w:val="left"/>
    </w:pPr>
    <w:rPr>
      <w:rFonts w:ascii="Helvetica" w:eastAsiaTheme="minorHAnsi" w:hAnsi="Helvetica"/>
      <w:color w:val="000000"/>
      <w:kern w:val="0"/>
      <w:sz w:val="15"/>
      <w:szCs w:val="15"/>
      <w14:ligatures w14:val="none"/>
      <w14:numForm w14:val="default"/>
      <w14:numSpacing w14:val="default"/>
      <w14:cntxtAlts w14:val="0"/>
    </w:rPr>
  </w:style>
  <w:style w:type="paragraph" w:styleId="NormalWeb">
    <w:name w:val="Normal (Web)"/>
    <w:basedOn w:val="Normal"/>
    <w:uiPriority w:val="99"/>
    <w:semiHidden/>
    <w:unhideWhenUsed/>
    <w:rsid w:val="00957E63"/>
    <w:rPr>
      <w:rFonts w:ascii="Times New Roman" w:hAnsi="Times New Roman"/>
      <w:szCs w:val="24"/>
    </w:rPr>
  </w:style>
  <w:style w:type="character" w:styleId="UnresolvedMention">
    <w:name w:val="Unresolved Mention"/>
    <w:basedOn w:val="DefaultParagraphFont"/>
    <w:uiPriority w:val="99"/>
    <w:semiHidden/>
    <w:unhideWhenUsed/>
    <w:rsid w:val="00060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20756">
      <w:bodyDiv w:val="1"/>
      <w:marLeft w:val="0"/>
      <w:marRight w:val="0"/>
      <w:marTop w:val="0"/>
      <w:marBottom w:val="0"/>
      <w:divBdr>
        <w:top w:val="none" w:sz="0" w:space="0" w:color="auto"/>
        <w:left w:val="none" w:sz="0" w:space="0" w:color="auto"/>
        <w:bottom w:val="none" w:sz="0" w:space="0" w:color="auto"/>
        <w:right w:val="none" w:sz="0" w:space="0" w:color="auto"/>
      </w:divBdr>
    </w:div>
    <w:div w:id="67463817">
      <w:bodyDiv w:val="1"/>
      <w:marLeft w:val="0"/>
      <w:marRight w:val="0"/>
      <w:marTop w:val="0"/>
      <w:marBottom w:val="0"/>
      <w:divBdr>
        <w:top w:val="none" w:sz="0" w:space="0" w:color="auto"/>
        <w:left w:val="none" w:sz="0" w:space="0" w:color="auto"/>
        <w:bottom w:val="none" w:sz="0" w:space="0" w:color="auto"/>
        <w:right w:val="none" w:sz="0" w:space="0" w:color="auto"/>
      </w:divBdr>
    </w:div>
    <w:div w:id="185217997">
      <w:bodyDiv w:val="1"/>
      <w:marLeft w:val="0"/>
      <w:marRight w:val="0"/>
      <w:marTop w:val="0"/>
      <w:marBottom w:val="0"/>
      <w:divBdr>
        <w:top w:val="none" w:sz="0" w:space="0" w:color="auto"/>
        <w:left w:val="none" w:sz="0" w:space="0" w:color="auto"/>
        <w:bottom w:val="none" w:sz="0" w:space="0" w:color="auto"/>
        <w:right w:val="none" w:sz="0" w:space="0" w:color="auto"/>
      </w:divBdr>
    </w:div>
    <w:div w:id="187722656">
      <w:bodyDiv w:val="1"/>
      <w:marLeft w:val="0"/>
      <w:marRight w:val="0"/>
      <w:marTop w:val="0"/>
      <w:marBottom w:val="0"/>
      <w:divBdr>
        <w:top w:val="none" w:sz="0" w:space="0" w:color="auto"/>
        <w:left w:val="none" w:sz="0" w:space="0" w:color="auto"/>
        <w:bottom w:val="none" w:sz="0" w:space="0" w:color="auto"/>
        <w:right w:val="none" w:sz="0" w:space="0" w:color="auto"/>
      </w:divBdr>
    </w:div>
    <w:div w:id="241723154">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314115305">
      <w:bodyDiv w:val="1"/>
      <w:marLeft w:val="0"/>
      <w:marRight w:val="0"/>
      <w:marTop w:val="0"/>
      <w:marBottom w:val="0"/>
      <w:divBdr>
        <w:top w:val="none" w:sz="0" w:space="0" w:color="auto"/>
        <w:left w:val="none" w:sz="0" w:space="0" w:color="auto"/>
        <w:bottom w:val="none" w:sz="0" w:space="0" w:color="auto"/>
        <w:right w:val="none" w:sz="0" w:space="0" w:color="auto"/>
      </w:divBdr>
    </w:div>
    <w:div w:id="326135435">
      <w:bodyDiv w:val="1"/>
      <w:marLeft w:val="0"/>
      <w:marRight w:val="0"/>
      <w:marTop w:val="0"/>
      <w:marBottom w:val="0"/>
      <w:divBdr>
        <w:top w:val="none" w:sz="0" w:space="0" w:color="auto"/>
        <w:left w:val="none" w:sz="0" w:space="0" w:color="auto"/>
        <w:bottom w:val="none" w:sz="0" w:space="0" w:color="auto"/>
        <w:right w:val="none" w:sz="0" w:space="0" w:color="auto"/>
      </w:divBdr>
    </w:div>
    <w:div w:id="328951751">
      <w:bodyDiv w:val="1"/>
      <w:marLeft w:val="0"/>
      <w:marRight w:val="0"/>
      <w:marTop w:val="0"/>
      <w:marBottom w:val="0"/>
      <w:divBdr>
        <w:top w:val="none" w:sz="0" w:space="0" w:color="auto"/>
        <w:left w:val="none" w:sz="0" w:space="0" w:color="auto"/>
        <w:bottom w:val="none" w:sz="0" w:space="0" w:color="auto"/>
        <w:right w:val="none" w:sz="0" w:space="0" w:color="auto"/>
      </w:divBdr>
    </w:div>
    <w:div w:id="340356061">
      <w:bodyDiv w:val="1"/>
      <w:marLeft w:val="0"/>
      <w:marRight w:val="0"/>
      <w:marTop w:val="0"/>
      <w:marBottom w:val="0"/>
      <w:divBdr>
        <w:top w:val="none" w:sz="0" w:space="0" w:color="auto"/>
        <w:left w:val="none" w:sz="0" w:space="0" w:color="auto"/>
        <w:bottom w:val="none" w:sz="0" w:space="0" w:color="auto"/>
        <w:right w:val="none" w:sz="0" w:space="0" w:color="auto"/>
      </w:divBdr>
    </w:div>
    <w:div w:id="452335553">
      <w:bodyDiv w:val="1"/>
      <w:marLeft w:val="0"/>
      <w:marRight w:val="0"/>
      <w:marTop w:val="0"/>
      <w:marBottom w:val="0"/>
      <w:divBdr>
        <w:top w:val="none" w:sz="0" w:space="0" w:color="auto"/>
        <w:left w:val="none" w:sz="0" w:space="0" w:color="auto"/>
        <w:bottom w:val="none" w:sz="0" w:space="0" w:color="auto"/>
        <w:right w:val="none" w:sz="0" w:space="0" w:color="auto"/>
      </w:divBdr>
    </w:div>
    <w:div w:id="523053620">
      <w:bodyDiv w:val="1"/>
      <w:marLeft w:val="0"/>
      <w:marRight w:val="0"/>
      <w:marTop w:val="0"/>
      <w:marBottom w:val="0"/>
      <w:divBdr>
        <w:top w:val="none" w:sz="0" w:space="0" w:color="auto"/>
        <w:left w:val="none" w:sz="0" w:space="0" w:color="auto"/>
        <w:bottom w:val="none" w:sz="0" w:space="0" w:color="auto"/>
        <w:right w:val="none" w:sz="0" w:space="0" w:color="auto"/>
      </w:divBdr>
    </w:div>
    <w:div w:id="565380395">
      <w:bodyDiv w:val="1"/>
      <w:marLeft w:val="0"/>
      <w:marRight w:val="0"/>
      <w:marTop w:val="0"/>
      <w:marBottom w:val="0"/>
      <w:divBdr>
        <w:top w:val="none" w:sz="0" w:space="0" w:color="auto"/>
        <w:left w:val="none" w:sz="0" w:space="0" w:color="auto"/>
        <w:bottom w:val="none" w:sz="0" w:space="0" w:color="auto"/>
        <w:right w:val="none" w:sz="0" w:space="0" w:color="auto"/>
      </w:divBdr>
    </w:div>
    <w:div w:id="587348214">
      <w:bodyDiv w:val="1"/>
      <w:marLeft w:val="0"/>
      <w:marRight w:val="0"/>
      <w:marTop w:val="0"/>
      <w:marBottom w:val="0"/>
      <w:divBdr>
        <w:top w:val="none" w:sz="0" w:space="0" w:color="auto"/>
        <w:left w:val="none" w:sz="0" w:space="0" w:color="auto"/>
        <w:bottom w:val="none" w:sz="0" w:space="0" w:color="auto"/>
        <w:right w:val="none" w:sz="0" w:space="0" w:color="auto"/>
      </w:divBdr>
    </w:div>
    <w:div w:id="602344225">
      <w:bodyDiv w:val="1"/>
      <w:marLeft w:val="0"/>
      <w:marRight w:val="0"/>
      <w:marTop w:val="0"/>
      <w:marBottom w:val="0"/>
      <w:divBdr>
        <w:top w:val="none" w:sz="0" w:space="0" w:color="auto"/>
        <w:left w:val="none" w:sz="0" w:space="0" w:color="auto"/>
        <w:bottom w:val="none" w:sz="0" w:space="0" w:color="auto"/>
        <w:right w:val="none" w:sz="0" w:space="0" w:color="auto"/>
      </w:divBdr>
    </w:div>
    <w:div w:id="681316805">
      <w:bodyDiv w:val="1"/>
      <w:marLeft w:val="0"/>
      <w:marRight w:val="0"/>
      <w:marTop w:val="0"/>
      <w:marBottom w:val="0"/>
      <w:divBdr>
        <w:top w:val="none" w:sz="0" w:space="0" w:color="auto"/>
        <w:left w:val="none" w:sz="0" w:space="0" w:color="auto"/>
        <w:bottom w:val="none" w:sz="0" w:space="0" w:color="auto"/>
        <w:right w:val="none" w:sz="0" w:space="0" w:color="auto"/>
      </w:divBdr>
    </w:div>
    <w:div w:id="730617993">
      <w:bodyDiv w:val="1"/>
      <w:marLeft w:val="0"/>
      <w:marRight w:val="0"/>
      <w:marTop w:val="0"/>
      <w:marBottom w:val="0"/>
      <w:divBdr>
        <w:top w:val="none" w:sz="0" w:space="0" w:color="auto"/>
        <w:left w:val="none" w:sz="0" w:space="0" w:color="auto"/>
        <w:bottom w:val="none" w:sz="0" w:space="0" w:color="auto"/>
        <w:right w:val="none" w:sz="0" w:space="0" w:color="auto"/>
      </w:divBdr>
    </w:div>
    <w:div w:id="741875732">
      <w:bodyDiv w:val="1"/>
      <w:marLeft w:val="0"/>
      <w:marRight w:val="0"/>
      <w:marTop w:val="0"/>
      <w:marBottom w:val="0"/>
      <w:divBdr>
        <w:top w:val="none" w:sz="0" w:space="0" w:color="auto"/>
        <w:left w:val="none" w:sz="0" w:space="0" w:color="auto"/>
        <w:bottom w:val="none" w:sz="0" w:space="0" w:color="auto"/>
        <w:right w:val="none" w:sz="0" w:space="0" w:color="auto"/>
      </w:divBdr>
    </w:div>
    <w:div w:id="749043691">
      <w:bodyDiv w:val="1"/>
      <w:marLeft w:val="0"/>
      <w:marRight w:val="0"/>
      <w:marTop w:val="0"/>
      <w:marBottom w:val="0"/>
      <w:divBdr>
        <w:top w:val="none" w:sz="0" w:space="0" w:color="auto"/>
        <w:left w:val="none" w:sz="0" w:space="0" w:color="auto"/>
        <w:bottom w:val="none" w:sz="0" w:space="0" w:color="auto"/>
        <w:right w:val="none" w:sz="0" w:space="0" w:color="auto"/>
      </w:divBdr>
    </w:div>
    <w:div w:id="767697153">
      <w:bodyDiv w:val="1"/>
      <w:marLeft w:val="0"/>
      <w:marRight w:val="0"/>
      <w:marTop w:val="0"/>
      <w:marBottom w:val="0"/>
      <w:divBdr>
        <w:top w:val="none" w:sz="0" w:space="0" w:color="auto"/>
        <w:left w:val="none" w:sz="0" w:space="0" w:color="auto"/>
        <w:bottom w:val="none" w:sz="0" w:space="0" w:color="auto"/>
        <w:right w:val="none" w:sz="0" w:space="0" w:color="auto"/>
      </w:divBdr>
    </w:div>
    <w:div w:id="782655520">
      <w:bodyDiv w:val="1"/>
      <w:marLeft w:val="0"/>
      <w:marRight w:val="0"/>
      <w:marTop w:val="0"/>
      <w:marBottom w:val="0"/>
      <w:divBdr>
        <w:top w:val="none" w:sz="0" w:space="0" w:color="auto"/>
        <w:left w:val="none" w:sz="0" w:space="0" w:color="auto"/>
        <w:bottom w:val="none" w:sz="0" w:space="0" w:color="auto"/>
        <w:right w:val="none" w:sz="0" w:space="0" w:color="auto"/>
      </w:divBdr>
    </w:div>
    <w:div w:id="798302734">
      <w:bodyDiv w:val="1"/>
      <w:marLeft w:val="0"/>
      <w:marRight w:val="0"/>
      <w:marTop w:val="0"/>
      <w:marBottom w:val="0"/>
      <w:divBdr>
        <w:top w:val="none" w:sz="0" w:space="0" w:color="auto"/>
        <w:left w:val="none" w:sz="0" w:space="0" w:color="auto"/>
        <w:bottom w:val="none" w:sz="0" w:space="0" w:color="auto"/>
        <w:right w:val="none" w:sz="0" w:space="0" w:color="auto"/>
      </w:divBdr>
    </w:div>
    <w:div w:id="873155140">
      <w:bodyDiv w:val="1"/>
      <w:marLeft w:val="0"/>
      <w:marRight w:val="0"/>
      <w:marTop w:val="0"/>
      <w:marBottom w:val="0"/>
      <w:divBdr>
        <w:top w:val="none" w:sz="0" w:space="0" w:color="auto"/>
        <w:left w:val="none" w:sz="0" w:space="0" w:color="auto"/>
        <w:bottom w:val="none" w:sz="0" w:space="0" w:color="auto"/>
        <w:right w:val="none" w:sz="0" w:space="0" w:color="auto"/>
      </w:divBdr>
    </w:div>
    <w:div w:id="923303288">
      <w:bodyDiv w:val="1"/>
      <w:marLeft w:val="0"/>
      <w:marRight w:val="0"/>
      <w:marTop w:val="0"/>
      <w:marBottom w:val="0"/>
      <w:divBdr>
        <w:top w:val="none" w:sz="0" w:space="0" w:color="auto"/>
        <w:left w:val="none" w:sz="0" w:space="0" w:color="auto"/>
        <w:bottom w:val="none" w:sz="0" w:space="0" w:color="auto"/>
        <w:right w:val="none" w:sz="0" w:space="0" w:color="auto"/>
      </w:divBdr>
    </w:div>
    <w:div w:id="937101524">
      <w:bodyDiv w:val="1"/>
      <w:marLeft w:val="0"/>
      <w:marRight w:val="0"/>
      <w:marTop w:val="0"/>
      <w:marBottom w:val="0"/>
      <w:divBdr>
        <w:top w:val="none" w:sz="0" w:space="0" w:color="auto"/>
        <w:left w:val="none" w:sz="0" w:space="0" w:color="auto"/>
        <w:bottom w:val="none" w:sz="0" w:space="0" w:color="auto"/>
        <w:right w:val="none" w:sz="0" w:space="0" w:color="auto"/>
      </w:divBdr>
      <w:divsChild>
        <w:div w:id="303893702">
          <w:marLeft w:val="0"/>
          <w:marRight w:val="0"/>
          <w:marTop w:val="0"/>
          <w:marBottom w:val="0"/>
          <w:divBdr>
            <w:top w:val="none" w:sz="0" w:space="0" w:color="auto"/>
            <w:left w:val="none" w:sz="0" w:space="0" w:color="auto"/>
            <w:bottom w:val="none" w:sz="0" w:space="0" w:color="auto"/>
            <w:right w:val="none" w:sz="0" w:space="0" w:color="auto"/>
          </w:divBdr>
        </w:div>
        <w:div w:id="507670474">
          <w:marLeft w:val="0"/>
          <w:marRight w:val="0"/>
          <w:marTop w:val="0"/>
          <w:marBottom w:val="0"/>
          <w:divBdr>
            <w:top w:val="none" w:sz="0" w:space="0" w:color="auto"/>
            <w:left w:val="none" w:sz="0" w:space="0" w:color="auto"/>
            <w:bottom w:val="none" w:sz="0" w:space="0" w:color="auto"/>
            <w:right w:val="none" w:sz="0" w:space="0" w:color="auto"/>
          </w:divBdr>
        </w:div>
        <w:div w:id="548077757">
          <w:marLeft w:val="0"/>
          <w:marRight w:val="0"/>
          <w:marTop w:val="0"/>
          <w:marBottom w:val="0"/>
          <w:divBdr>
            <w:top w:val="none" w:sz="0" w:space="0" w:color="auto"/>
            <w:left w:val="none" w:sz="0" w:space="0" w:color="auto"/>
            <w:bottom w:val="none" w:sz="0" w:space="0" w:color="auto"/>
            <w:right w:val="none" w:sz="0" w:space="0" w:color="auto"/>
          </w:divBdr>
        </w:div>
        <w:div w:id="775641217">
          <w:marLeft w:val="0"/>
          <w:marRight w:val="0"/>
          <w:marTop w:val="0"/>
          <w:marBottom w:val="0"/>
          <w:divBdr>
            <w:top w:val="none" w:sz="0" w:space="0" w:color="auto"/>
            <w:left w:val="none" w:sz="0" w:space="0" w:color="auto"/>
            <w:bottom w:val="none" w:sz="0" w:space="0" w:color="auto"/>
            <w:right w:val="none" w:sz="0" w:space="0" w:color="auto"/>
          </w:divBdr>
        </w:div>
        <w:div w:id="931744594">
          <w:marLeft w:val="0"/>
          <w:marRight w:val="0"/>
          <w:marTop w:val="0"/>
          <w:marBottom w:val="0"/>
          <w:divBdr>
            <w:top w:val="none" w:sz="0" w:space="0" w:color="auto"/>
            <w:left w:val="none" w:sz="0" w:space="0" w:color="auto"/>
            <w:bottom w:val="none" w:sz="0" w:space="0" w:color="auto"/>
            <w:right w:val="none" w:sz="0" w:space="0" w:color="auto"/>
          </w:divBdr>
        </w:div>
        <w:div w:id="1035696243">
          <w:marLeft w:val="0"/>
          <w:marRight w:val="0"/>
          <w:marTop w:val="0"/>
          <w:marBottom w:val="0"/>
          <w:divBdr>
            <w:top w:val="none" w:sz="0" w:space="0" w:color="auto"/>
            <w:left w:val="none" w:sz="0" w:space="0" w:color="auto"/>
            <w:bottom w:val="none" w:sz="0" w:space="0" w:color="auto"/>
            <w:right w:val="none" w:sz="0" w:space="0" w:color="auto"/>
          </w:divBdr>
        </w:div>
        <w:div w:id="1207840499">
          <w:marLeft w:val="0"/>
          <w:marRight w:val="0"/>
          <w:marTop w:val="0"/>
          <w:marBottom w:val="0"/>
          <w:divBdr>
            <w:top w:val="none" w:sz="0" w:space="0" w:color="auto"/>
            <w:left w:val="none" w:sz="0" w:space="0" w:color="auto"/>
            <w:bottom w:val="none" w:sz="0" w:space="0" w:color="auto"/>
            <w:right w:val="none" w:sz="0" w:space="0" w:color="auto"/>
          </w:divBdr>
        </w:div>
        <w:div w:id="1334800058">
          <w:marLeft w:val="0"/>
          <w:marRight w:val="0"/>
          <w:marTop w:val="0"/>
          <w:marBottom w:val="0"/>
          <w:divBdr>
            <w:top w:val="none" w:sz="0" w:space="0" w:color="auto"/>
            <w:left w:val="none" w:sz="0" w:space="0" w:color="auto"/>
            <w:bottom w:val="none" w:sz="0" w:space="0" w:color="auto"/>
            <w:right w:val="none" w:sz="0" w:space="0" w:color="auto"/>
          </w:divBdr>
        </w:div>
        <w:div w:id="1396970398">
          <w:marLeft w:val="0"/>
          <w:marRight w:val="0"/>
          <w:marTop w:val="0"/>
          <w:marBottom w:val="0"/>
          <w:divBdr>
            <w:top w:val="none" w:sz="0" w:space="0" w:color="auto"/>
            <w:left w:val="none" w:sz="0" w:space="0" w:color="auto"/>
            <w:bottom w:val="none" w:sz="0" w:space="0" w:color="auto"/>
            <w:right w:val="none" w:sz="0" w:space="0" w:color="auto"/>
          </w:divBdr>
        </w:div>
        <w:div w:id="1634628095">
          <w:marLeft w:val="0"/>
          <w:marRight w:val="0"/>
          <w:marTop w:val="0"/>
          <w:marBottom w:val="0"/>
          <w:divBdr>
            <w:top w:val="none" w:sz="0" w:space="0" w:color="auto"/>
            <w:left w:val="none" w:sz="0" w:space="0" w:color="auto"/>
            <w:bottom w:val="none" w:sz="0" w:space="0" w:color="auto"/>
            <w:right w:val="none" w:sz="0" w:space="0" w:color="auto"/>
          </w:divBdr>
        </w:div>
        <w:div w:id="1663073855">
          <w:marLeft w:val="0"/>
          <w:marRight w:val="0"/>
          <w:marTop w:val="0"/>
          <w:marBottom w:val="0"/>
          <w:divBdr>
            <w:top w:val="none" w:sz="0" w:space="0" w:color="auto"/>
            <w:left w:val="none" w:sz="0" w:space="0" w:color="auto"/>
            <w:bottom w:val="none" w:sz="0" w:space="0" w:color="auto"/>
            <w:right w:val="none" w:sz="0" w:space="0" w:color="auto"/>
          </w:divBdr>
        </w:div>
        <w:div w:id="1811903104">
          <w:marLeft w:val="0"/>
          <w:marRight w:val="0"/>
          <w:marTop w:val="0"/>
          <w:marBottom w:val="0"/>
          <w:divBdr>
            <w:top w:val="none" w:sz="0" w:space="0" w:color="auto"/>
            <w:left w:val="none" w:sz="0" w:space="0" w:color="auto"/>
            <w:bottom w:val="none" w:sz="0" w:space="0" w:color="auto"/>
            <w:right w:val="none" w:sz="0" w:space="0" w:color="auto"/>
          </w:divBdr>
        </w:div>
        <w:div w:id="1910075519">
          <w:marLeft w:val="0"/>
          <w:marRight w:val="0"/>
          <w:marTop w:val="0"/>
          <w:marBottom w:val="0"/>
          <w:divBdr>
            <w:top w:val="none" w:sz="0" w:space="0" w:color="auto"/>
            <w:left w:val="none" w:sz="0" w:space="0" w:color="auto"/>
            <w:bottom w:val="none" w:sz="0" w:space="0" w:color="auto"/>
            <w:right w:val="none" w:sz="0" w:space="0" w:color="auto"/>
          </w:divBdr>
        </w:div>
        <w:div w:id="1994603241">
          <w:marLeft w:val="0"/>
          <w:marRight w:val="0"/>
          <w:marTop w:val="0"/>
          <w:marBottom w:val="0"/>
          <w:divBdr>
            <w:top w:val="none" w:sz="0" w:space="0" w:color="auto"/>
            <w:left w:val="none" w:sz="0" w:space="0" w:color="auto"/>
            <w:bottom w:val="none" w:sz="0" w:space="0" w:color="auto"/>
            <w:right w:val="none" w:sz="0" w:space="0" w:color="auto"/>
          </w:divBdr>
        </w:div>
        <w:div w:id="2019963939">
          <w:marLeft w:val="0"/>
          <w:marRight w:val="0"/>
          <w:marTop w:val="0"/>
          <w:marBottom w:val="0"/>
          <w:divBdr>
            <w:top w:val="none" w:sz="0" w:space="0" w:color="auto"/>
            <w:left w:val="none" w:sz="0" w:space="0" w:color="auto"/>
            <w:bottom w:val="none" w:sz="0" w:space="0" w:color="auto"/>
            <w:right w:val="none" w:sz="0" w:space="0" w:color="auto"/>
          </w:divBdr>
        </w:div>
        <w:div w:id="2043019934">
          <w:marLeft w:val="0"/>
          <w:marRight w:val="0"/>
          <w:marTop w:val="0"/>
          <w:marBottom w:val="0"/>
          <w:divBdr>
            <w:top w:val="none" w:sz="0" w:space="0" w:color="auto"/>
            <w:left w:val="none" w:sz="0" w:space="0" w:color="auto"/>
            <w:bottom w:val="none" w:sz="0" w:space="0" w:color="auto"/>
            <w:right w:val="none" w:sz="0" w:space="0" w:color="auto"/>
          </w:divBdr>
        </w:div>
        <w:div w:id="2130005647">
          <w:marLeft w:val="0"/>
          <w:marRight w:val="0"/>
          <w:marTop w:val="0"/>
          <w:marBottom w:val="0"/>
          <w:divBdr>
            <w:top w:val="none" w:sz="0" w:space="0" w:color="auto"/>
            <w:left w:val="none" w:sz="0" w:space="0" w:color="auto"/>
            <w:bottom w:val="none" w:sz="0" w:space="0" w:color="auto"/>
            <w:right w:val="none" w:sz="0" w:space="0" w:color="auto"/>
          </w:divBdr>
        </w:div>
      </w:divsChild>
    </w:div>
    <w:div w:id="988941517">
      <w:bodyDiv w:val="1"/>
      <w:marLeft w:val="0"/>
      <w:marRight w:val="0"/>
      <w:marTop w:val="0"/>
      <w:marBottom w:val="0"/>
      <w:divBdr>
        <w:top w:val="none" w:sz="0" w:space="0" w:color="auto"/>
        <w:left w:val="none" w:sz="0" w:space="0" w:color="auto"/>
        <w:bottom w:val="none" w:sz="0" w:space="0" w:color="auto"/>
        <w:right w:val="none" w:sz="0" w:space="0" w:color="auto"/>
      </w:divBdr>
    </w:div>
    <w:div w:id="1163593732">
      <w:bodyDiv w:val="1"/>
      <w:marLeft w:val="0"/>
      <w:marRight w:val="0"/>
      <w:marTop w:val="0"/>
      <w:marBottom w:val="0"/>
      <w:divBdr>
        <w:top w:val="none" w:sz="0" w:space="0" w:color="auto"/>
        <w:left w:val="none" w:sz="0" w:space="0" w:color="auto"/>
        <w:bottom w:val="none" w:sz="0" w:space="0" w:color="auto"/>
        <w:right w:val="none" w:sz="0" w:space="0" w:color="auto"/>
      </w:divBdr>
    </w:div>
    <w:div w:id="1256479909">
      <w:bodyDiv w:val="1"/>
      <w:marLeft w:val="0"/>
      <w:marRight w:val="0"/>
      <w:marTop w:val="0"/>
      <w:marBottom w:val="0"/>
      <w:divBdr>
        <w:top w:val="none" w:sz="0" w:space="0" w:color="auto"/>
        <w:left w:val="none" w:sz="0" w:space="0" w:color="auto"/>
        <w:bottom w:val="none" w:sz="0" w:space="0" w:color="auto"/>
        <w:right w:val="none" w:sz="0" w:space="0" w:color="auto"/>
      </w:divBdr>
    </w:div>
    <w:div w:id="1279219061">
      <w:bodyDiv w:val="1"/>
      <w:marLeft w:val="0"/>
      <w:marRight w:val="0"/>
      <w:marTop w:val="0"/>
      <w:marBottom w:val="0"/>
      <w:divBdr>
        <w:top w:val="none" w:sz="0" w:space="0" w:color="auto"/>
        <w:left w:val="none" w:sz="0" w:space="0" w:color="auto"/>
        <w:bottom w:val="none" w:sz="0" w:space="0" w:color="auto"/>
        <w:right w:val="none" w:sz="0" w:space="0" w:color="auto"/>
      </w:divBdr>
    </w:div>
    <w:div w:id="1283027514">
      <w:bodyDiv w:val="1"/>
      <w:marLeft w:val="0"/>
      <w:marRight w:val="0"/>
      <w:marTop w:val="0"/>
      <w:marBottom w:val="0"/>
      <w:divBdr>
        <w:top w:val="none" w:sz="0" w:space="0" w:color="auto"/>
        <w:left w:val="none" w:sz="0" w:space="0" w:color="auto"/>
        <w:bottom w:val="none" w:sz="0" w:space="0" w:color="auto"/>
        <w:right w:val="none" w:sz="0" w:space="0" w:color="auto"/>
      </w:divBdr>
    </w:div>
    <w:div w:id="1288732040">
      <w:bodyDiv w:val="1"/>
      <w:marLeft w:val="0"/>
      <w:marRight w:val="0"/>
      <w:marTop w:val="0"/>
      <w:marBottom w:val="0"/>
      <w:divBdr>
        <w:top w:val="none" w:sz="0" w:space="0" w:color="auto"/>
        <w:left w:val="none" w:sz="0" w:space="0" w:color="auto"/>
        <w:bottom w:val="none" w:sz="0" w:space="0" w:color="auto"/>
        <w:right w:val="none" w:sz="0" w:space="0" w:color="auto"/>
      </w:divBdr>
    </w:div>
    <w:div w:id="1397583719">
      <w:bodyDiv w:val="1"/>
      <w:marLeft w:val="0"/>
      <w:marRight w:val="0"/>
      <w:marTop w:val="0"/>
      <w:marBottom w:val="0"/>
      <w:divBdr>
        <w:top w:val="none" w:sz="0" w:space="0" w:color="auto"/>
        <w:left w:val="none" w:sz="0" w:space="0" w:color="auto"/>
        <w:bottom w:val="none" w:sz="0" w:space="0" w:color="auto"/>
        <w:right w:val="none" w:sz="0" w:space="0" w:color="auto"/>
      </w:divBdr>
    </w:div>
    <w:div w:id="1407679735">
      <w:bodyDiv w:val="1"/>
      <w:marLeft w:val="0"/>
      <w:marRight w:val="0"/>
      <w:marTop w:val="0"/>
      <w:marBottom w:val="0"/>
      <w:divBdr>
        <w:top w:val="none" w:sz="0" w:space="0" w:color="auto"/>
        <w:left w:val="none" w:sz="0" w:space="0" w:color="auto"/>
        <w:bottom w:val="none" w:sz="0" w:space="0" w:color="auto"/>
        <w:right w:val="none" w:sz="0" w:space="0" w:color="auto"/>
      </w:divBdr>
    </w:div>
    <w:div w:id="1436094923">
      <w:bodyDiv w:val="1"/>
      <w:marLeft w:val="0"/>
      <w:marRight w:val="0"/>
      <w:marTop w:val="0"/>
      <w:marBottom w:val="0"/>
      <w:divBdr>
        <w:top w:val="none" w:sz="0" w:space="0" w:color="auto"/>
        <w:left w:val="none" w:sz="0" w:space="0" w:color="auto"/>
        <w:bottom w:val="none" w:sz="0" w:space="0" w:color="auto"/>
        <w:right w:val="none" w:sz="0" w:space="0" w:color="auto"/>
      </w:divBdr>
    </w:div>
    <w:div w:id="1507479553">
      <w:bodyDiv w:val="1"/>
      <w:marLeft w:val="0"/>
      <w:marRight w:val="0"/>
      <w:marTop w:val="0"/>
      <w:marBottom w:val="0"/>
      <w:divBdr>
        <w:top w:val="none" w:sz="0" w:space="0" w:color="auto"/>
        <w:left w:val="none" w:sz="0" w:space="0" w:color="auto"/>
        <w:bottom w:val="none" w:sz="0" w:space="0" w:color="auto"/>
        <w:right w:val="none" w:sz="0" w:space="0" w:color="auto"/>
      </w:divBdr>
    </w:div>
    <w:div w:id="1509517057">
      <w:bodyDiv w:val="1"/>
      <w:marLeft w:val="0"/>
      <w:marRight w:val="0"/>
      <w:marTop w:val="0"/>
      <w:marBottom w:val="0"/>
      <w:divBdr>
        <w:top w:val="none" w:sz="0" w:space="0" w:color="auto"/>
        <w:left w:val="none" w:sz="0" w:space="0" w:color="auto"/>
        <w:bottom w:val="none" w:sz="0" w:space="0" w:color="auto"/>
        <w:right w:val="none" w:sz="0" w:space="0" w:color="auto"/>
      </w:divBdr>
    </w:div>
    <w:div w:id="1543975018">
      <w:bodyDiv w:val="1"/>
      <w:marLeft w:val="0"/>
      <w:marRight w:val="0"/>
      <w:marTop w:val="0"/>
      <w:marBottom w:val="0"/>
      <w:divBdr>
        <w:top w:val="none" w:sz="0" w:space="0" w:color="auto"/>
        <w:left w:val="none" w:sz="0" w:space="0" w:color="auto"/>
        <w:bottom w:val="none" w:sz="0" w:space="0" w:color="auto"/>
        <w:right w:val="none" w:sz="0" w:space="0" w:color="auto"/>
      </w:divBdr>
    </w:div>
    <w:div w:id="1646349406">
      <w:bodyDiv w:val="1"/>
      <w:marLeft w:val="0"/>
      <w:marRight w:val="0"/>
      <w:marTop w:val="0"/>
      <w:marBottom w:val="0"/>
      <w:divBdr>
        <w:top w:val="none" w:sz="0" w:space="0" w:color="auto"/>
        <w:left w:val="none" w:sz="0" w:space="0" w:color="auto"/>
        <w:bottom w:val="none" w:sz="0" w:space="0" w:color="auto"/>
        <w:right w:val="none" w:sz="0" w:space="0" w:color="auto"/>
      </w:divBdr>
    </w:div>
    <w:div w:id="1666204936">
      <w:bodyDiv w:val="1"/>
      <w:marLeft w:val="0"/>
      <w:marRight w:val="0"/>
      <w:marTop w:val="0"/>
      <w:marBottom w:val="0"/>
      <w:divBdr>
        <w:top w:val="none" w:sz="0" w:space="0" w:color="auto"/>
        <w:left w:val="none" w:sz="0" w:space="0" w:color="auto"/>
        <w:bottom w:val="none" w:sz="0" w:space="0" w:color="auto"/>
        <w:right w:val="none" w:sz="0" w:space="0" w:color="auto"/>
      </w:divBdr>
    </w:div>
    <w:div w:id="1770732247">
      <w:bodyDiv w:val="1"/>
      <w:marLeft w:val="0"/>
      <w:marRight w:val="0"/>
      <w:marTop w:val="0"/>
      <w:marBottom w:val="0"/>
      <w:divBdr>
        <w:top w:val="none" w:sz="0" w:space="0" w:color="auto"/>
        <w:left w:val="none" w:sz="0" w:space="0" w:color="auto"/>
        <w:bottom w:val="none" w:sz="0" w:space="0" w:color="auto"/>
        <w:right w:val="none" w:sz="0" w:space="0" w:color="auto"/>
      </w:divBdr>
    </w:div>
    <w:div w:id="1823616622">
      <w:bodyDiv w:val="1"/>
      <w:marLeft w:val="0"/>
      <w:marRight w:val="0"/>
      <w:marTop w:val="0"/>
      <w:marBottom w:val="0"/>
      <w:divBdr>
        <w:top w:val="none" w:sz="0" w:space="0" w:color="auto"/>
        <w:left w:val="none" w:sz="0" w:space="0" w:color="auto"/>
        <w:bottom w:val="none" w:sz="0" w:space="0" w:color="auto"/>
        <w:right w:val="none" w:sz="0" w:space="0" w:color="auto"/>
      </w:divBdr>
    </w:div>
    <w:div w:id="1837914868">
      <w:bodyDiv w:val="1"/>
      <w:marLeft w:val="0"/>
      <w:marRight w:val="0"/>
      <w:marTop w:val="0"/>
      <w:marBottom w:val="0"/>
      <w:divBdr>
        <w:top w:val="none" w:sz="0" w:space="0" w:color="auto"/>
        <w:left w:val="none" w:sz="0" w:space="0" w:color="auto"/>
        <w:bottom w:val="none" w:sz="0" w:space="0" w:color="auto"/>
        <w:right w:val="none" w:sz="0" w:space="0" w:color="auto"/>
      </w:divBdr>
    </w:div>
    <w:div w:id="1849563457">
      <w:bodyDiv w:val="1"/>
      <w:marLeft w:val="0"/>
      <w:marRight w:val="0"/>
      <w:marTop w:val="0"/>
      <w:marBottom w:val="0"/>
      <w:divBdr>
        <w:top w:val="none" w:sz="0" w:space="0" w:color="auto"/>
        <w:left w:val="none" w:sz="0" w:space="0" w:color="auto"/>
        <w:bottom w:val="none" w:sz="0" w:space="0" w:color="auto"/>
        <w:right w:val="none" w:sz="0" w:space="0" w:color="auto"/>
      </w:divBdr>
    </w:div>
    <w:div w:id="1918054581">
      <w:bodyDiv w:val="1"/>
      <w:marLeft w:val="0"/>
      <w:marRight w:val="0"/>
      <w:marTop w:val="0"/>
      <w:marBottom w:val="0"/>
      <w:divBdr>
        <w:top w:val="none" w:sz="0" w:space="0" w:color="auto"/>
        <w:left w:val="none" w:sz="0" w:space="0" w:color="auto"/>
        <w:bottom w:val="none" w:sz="0" w:space="0" w:color="auto"/>
        <w:right w:val="none" w:sz="0" w:space="0" w:color="auto"/>
      </w:divBdr>
    </w:div>
    <w:div w:id="2026666801">
      <w:bodyDiv w:val="1"/>
      <w:marLeft w:val="0"/>
      <w:marRight w:val="0"/>
      <w:marTop w:val="0"/>
      <w:marBottom w:val="0"/>
      <w:divBdr>
        <w:top w:val="none" w:sz="0" w:space="0" w:color="auto"/>
        <w:left w:val="none" w:sz="0" w:space="0" w:color="auto"/>
        <w:bottom w:val="none" w:sz="0" w:space="0" w:color="auto"/>
        <w:right w:val="none" w:sz="0" w:space="0" w:color="auto"/>
      </w:divBdr>
    </w:div>
    <w:div w:id="2026856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s69\Dropbox\duke\misc\Article%20template%202012_03_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044AE-FD31-48EF-A5D7-988717254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 2012_03_14</Template>
  <TotalTime>12</TotalTime>
  <Pages>98</Pages>
  <Words>26279</Words>
  <Characters>149796</Characters>
  <Application>Microsoft Office Word</Application>
  <DocSecurity>0</DocSecurity>
  <Lines>1248</Lines>
  <Paragraphs>351</Paragraphs>
  <ScaleCrop>false</ScaleCrop>
  <HeadingPairs>
    <vt:vector size="2" baseType="variant">
      <vt:variant>
        <vt:lpstr>Title</vt:lpstr>
      </vt:variant>
      <vt:variant>
        <vt:i4>1</vt:i4>
      </vt:variant>
    </vt:vector>
  </HeadingPairs>
  <TitlesOfParts>
    <vt:vector size="1" baseType="lpstr">
      <vt:lpstr/>
    </vt:vector>
  </TitlesOfParts>
  <Company>Duke University School of Law</Company>
  <LinksUpToDate>false</LinksUpToDate>
  <CharactersWithSpaces>175724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 buccola</dc:creator>
  <cp:keywords/>
  <dc:description/>
  <cp:lastModifiedBy>Peter Conti-Brown</cp:lastModifiedBy>
  <cp:revision>3</cp:revision>
  <cp:lastPrinted>2016-11-04T20:00:00Z</cp:lastPrinted>
  <dcterms:created xsi:type="dcterms:W3CDTF">2019-03-03T05:36:00Z</dcterms:created>
  <dcterms:modified xsi:type="dcterms:W3CDTF">2019-03-03T05:48:00Z</dcterms:modified>
</cp:coreProperties>
</file>