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34" w:rsidRDefault="00E702C7" w:rsidP="00233407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5610" cy="2565400"/>
            <wp:effectExtent l="0" t="0" r="8890" b="6350"/>
            <wp:wrapTight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ight>
            <wp:docPr id="1" name="Picture 1" descr="Samuel Johnson Is Indignant: Stories by [Davis, Lyd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Samuel Johnson Is Indignant: Stories by [Davis, Lydia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34" w:rsidRPr="0026708F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1525A" wp14:editId="2421093C">
                <wp:simplePos x="0" y="0"/>
                <wp:positionH relativeFrom="margin">
                  <wp:posOffset>1889760</wp:posOffset>
                </wp:positionH>
                <wp:positionV relativeFrom="paragraph">
                  <wp:posOffset>3810</wp:posOffset>
                </wp:positionV>
                <wp:extent cx="4236720" cy="25374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537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8F" w:rsidRPr="00C43FF8" w:rsidRDefault="00E1185D" w:rsidP="0026708F">
                            <w:pPr>
                              <w:spacing w:after="12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t>Betrayal</w:t>
                            </w:r>
                          </w:p>
                          <w:p w:rsidR="00CE7171" w:rsidRPr="0001595C" w:rsidRDefault="006B7FD7" w:rsidP="0037166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Lydia Davis is perhaps the greatest living English-language writer of “flash fiction”: short stories that push the limit of how “short” a story can be, sometimes down to just a handful of words</w:t>
                            </w:r>
                            <w:r w:rsidR="00BF7534"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806DA"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“Betrayal” narrates the progression of an unnamed woman’s fantasies in just five long, flowing sentences, </w:t>
                            </w:r>
                            <w:r w:rsidR="00371661"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provoking questions about desire, intimacy, and guilt.  Davis’ dreamlike prose captures how </w:t>
                            </w:r>
                            <w:r w:rsidR="0001595C"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the woman’s increasingly mundane </w:t>
                            </w:r>
                            <w:r w:rsidR="00371661"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fantas</w:t>
                            </w:r>
                            <w:r w:rsidR="0001595C"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ies</w:t>
                            </w:r>
                            <w:r w:rsidR="00371661" w:rsidRPr="0001595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might become “indistinguishable from the reality of her everyday life” </w:t>
                            </w:r>
                            <w:r w:rsidR="00371661" w:rsidRPr="0001595C">
                              <w:rPr>
                                <w:sz w:val="24"/>
                                <w:szCs w:val="24"/>
                              </w:rPr>
                              <w:t xml:space="preserve">while still feeling different – </w:t>
                            </w:r>
                            <w:r w:rsidR="0001595C" w:rsidRPr="0001595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371661" w:rsidRPr="0001595C">
                              <w:rPr>
                                <w:sz w:val="24"/>
                                <w:szCs w:val="24"/>
                              </w:rPr>
                              <w:t>ecret and shameful.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5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.3pt;width:333.6pt;height:19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" fillcolor="#bfbfbf [2412]">
                <v:textbox>
                  <w:txbxContent>
                    <w:p w:rsidR="0026708F" w:rsidRPr="00C43FF8" w:rsidRDefault="00E1185D" w:rsidP="0026708F">
                      <w:pPr>
                        <w:spacing w:after="120" w:line="240" w:lineRule="auto"/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t>Betrayal</w:t>
                      </w:r>
                    </w:p>
                    <w:p w:rsidR="00CE7171" w:rsidRPr="0001595C" w:rsidRDefault="006B7FD7" w:rsidP="0037166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Lydia Davis is perhaps the greatest living English-language writer of “flash fiction”: short stories that push the limit of how “short” a story can be, sometimes down to just a handful of words</w:t>
                      </w:r>
                      <w:r w:rsidR="00BF7534"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  <w:r w:rsidR="003806DA"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“Betrayal” narrates the progression of an unnamed woman’s fantasies in just five long, flowing sentences, </w:t>
                      </w:r>
                      <w:r w:rsidR="00371661"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provoking questions about desire, intimacy, and guilt.  Davis’ dreamlike prose captures how </w:t>
                      </w:r>
                      <w:r w:rsidR="0001595C"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the woman’s increasingly mundane </w:t>
                      </w:r>
                      <w:r w:rsidR="00371661"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fantas</w:t>
                      </w:r>
                      <w:r w:rsidR="0001595C"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ies</w:t>
                      </w:r>
                      <w:r w:rsidR="00371661" w:rsidRPr="0001595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might become “indistinguishable from the reality of her everyday life” </w:t>
                      </w:r>
                      <w:r w:rsidR="00371661" w:rsidRPr="0001595C">
                        <w:rPr>
                          <w:sz w:val="24"/>
                          <w:szCs w:val="24"/>
                        </w:rPr>
                        <w:t xml:space="preserve">while still feeling different – </w:t>
                      </w:r>
                      <w:r w:rsidR="0001595C" w:rsidRPr="0001595C">
                        <w:rPr>
                          <w:sz w:val="24"/>
                          <w:szCs w:val="24"/>
                        </w:rPr>
                        <w:t>s</w:t>
                      </w:r>
                      <w:r w:rsidR="00371661" w:rsidRPr="0001595C">
                        <w:rPr>
                          <w:sz w:val="24"/>
                          <w:szCs w:val="24"/>
                        </w:rPr>
                        <w:t>ecret and shameful.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D62">
        <w:rPr>
          <w:rFonts w:eastAsia="Times New Roman" w:cs="Times New Roman"/>
          <w:b/>
          <w:sz w:val="32"/>
          <w:szCs w:val="32"/>
        </w:rPr>
        <w:t xml:space="preserve"> </w:t>
      </w:r>
      <w:r w:rsidR="007A2E6A">
        <w:rPr>
          <w:rFonts w:eastAsia="Times New Roman" w:cs="Times New Roman"/>
          <w:b/>
          <w:sz w:val="32"/>
          <w:szCs w:val="32"/>
        </w:rPr>
        <w:t xml:space="preserve"> </w:t>
      </w:r>
    </w:p>
    <w:p w:rsidR="00890E86" w:rsidRPr="00D76732" w:rsidRDefault="00890E86" w:rsidP="00233407">
      <w:pPr>
        <w:spacing w:after="120" w:line="240" w:lineRule="auto"/>
        <w:rPr>
          <w:rFonts w:eastAsia="Times New Roman" w:cs="Times New Roman"/>
          <w:b/>
        </w:rPr>
      </w:pPr>
    </w:p>
    <w:p w:rsidR="00022E7E" w:rsidRPr="0026708F" w:rsidRDefault="0026708F" w:rsidP="00233407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 w:rsidRPr="0026708F">
        <w:rPr>
          <w:rFonts w:eastAsia="Times New Roman" w:cs="Times New Roman"/>
          <w:b/>
          <w:sz w:val="32"/>
          <w:szCs w:val="32"/>
        </w:rPr>
        <w:t>Questions</w:t>
      </w:r>
    </w:p>
    <w:p w:rsidR="0001595C" w:rsidRPr="00A46910" w:rsidRDefault="0001595C" w:rsidP="0001595C">
      <w:pPr>
        <w:numPr>
          <w:ilvl w:val="0"/>
          <w:numId w:val="1"/>
        </w:numPr>
        <w:spacing w:after="0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What makes the woman’s non-sexual or non-romantic fantasies still feel like “a sort of betrayal”?  Why does the story claim that “perhaps they had to be, to be any comfort and strength”?</w:t>
      </w:r>
    </w:p>
    <w:p w:rsidR="00702CCE" w:rsidRPr="00A46910" w:rsidRDefault="0001595C" w:rsidP="00702CCE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Why does the woman eventually wind up fantasizing about the kinds of friendly relationships she already enjoys?  Does fantasy always have to be a wish for something you don’t have?  If so, what is it that she craves?</w:t>
      </w:r>
    </w:p>
    <w:p w:rsidR="00702CCE" w:rsidRDefault="0001595C" w:rsidP="008433AE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Does it matter that this story is about a woman in a relationship with a man</w:t>
      </w:r>
      <w:r w:rsidR="008433AE">
        <w:rPr>
          <w:sz w:val="24"/>
          <w:szCs w:val="24"/>
        </w:rPr>
        <w:t>, fantasizing about men?  Would it fe</w:t>
      </w:r>
      <w:r>
        <w:rPr>
          <w:sz w:val="24"/>
          <w:szCs w:val="24"/>
        </w:rPr>
        <w:t>e</w:t>
      </w:r>
      <w:r w:rsidR="008433AE">
        <w:rPr>
          <w:sz w:val="24"/>
          <w:szCs w:val="24"/>
        </w:rPr>
        <w:t>l</w:t>
      </w:r>
      <w:r>
        <w:rPr>
          <w:sz w:val="24"/>
          <w:szCs w:val="24"/>
        </w:rPr>
        <w:t xml:space="preserve"> different if the subject were a </w:t>
      </w:r>
      <w:r w:rsidR="008433AE">
        <w:rPr>
          <w:sz w:val="24"/>
          <w:szCs w:val="24"/>
        </w:rPr>
        <w:t xml:space="preserve">straight </w:t>
      </w:r>
      <w:r>
        <w:rPr>
          <w:sz w:val="24"/>
          <w:szCs w:val="24"/>
        </w:rPr>
        <w:t>man?</w:t>
      </w:r>
      <w:r w:rsidR="008433AE">
        <w:rPr>
          <w:sz w:val="24"/>
          <w:szCs w:val="24"/>
        </w:rPr>
        <w:t xml:space="preserve">  How about a same-sex relationship or same-sex fantasies?  If so, why might that be?  </w:t>
      </w:r>
    </w:p>
    <w:p w:rsidR="008433AE" w:rsidRPr="008433AE" w:rsidRDefault="008433AE" w:rsidP="008433AE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This story was included in “The Best American Poetry” 1999.  Why would someone consider this poetry?  Would you read this differently if you read it as a poem?</w:t>
      </w:r>
    </w:p>
    <w:p w:rsidR="008433AE" w:rsidRDefault="008433AE" w:rsidP="00233407">
      <w:pPr>
        <w:spacing w:after="120"/>
        <w:rPr>
          <w:b/>
          <w:sz w:val="32"/>
          <w:szCs w:val="32"/>
        </w:rPr>
      </w:pPr>
    </w:p>
    <w:p w:rsidR="002A0040" w:rsidRPr="0026708F" w:rsidRDefault="00D5213C" w:rsidP="00233407">
      <w:pPr>
        <w:spacing w:after="120"/>
        <w:rPr>
          <w:sz w:val="32"/>
          <w:szCs w:val="32"/>
        </w:rPr>
      </w:pPr>
      <w:r w:rsidRPr="0026708F">
        <w:rPr>
          <w:b/>
          <w:sz w:val="32"/>
          <w:szCs w:val="32"/>
        </w:rPr>
        <w:t>References</w:t>
      </w:r>
      <w:r w:rsidRPr="0026708F">
        <w:rPr>
          <w:sz w:val="32"/>
          <w:szCs w:val="32"/>
        </w:rPr>
        <w:t xml:space="preserve"> </w:t>
      </w:r>
    </w:p>
    <w:p w:rsidR="00D5213C" w:rsidRDefault="00E9545F" w:rsidP="00626C4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Allred, N. (2016). </w:t>
      </w:r>
      <w:r w:rsidR="00DF399F">
        <w:rPr>
          <w:rFonts w:eastAsia="Times New Roman" w:cs="Times New Roman"/>
          <w:sz w:val="24"/>
          <w:szCs w:val="24"/>
        </w:rPr>
        <w:t>R4R</w:t>
      </w:r>
      <w:r>
        <w:rPr>
          <w:rFonts w:eastAsia="Times New Roman" w:cs="Times New Roman"/>
          <w:sz w:val="24"/>
          <w:szCs w:val="24"/>
        </w:rPr>
        <w:t xml:space="preserve"> discussion blurb for facilitators</w:t>
      </w:r>
      <w:r w:rsidR="00DF399F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  <w:r w:rsidR="008F4EAA">
        <w:rPr>
          <w:rFonts w:eastAsia="Times New Roman" w:cs="Times New Roman"/>
          <w:sz w:val="24"/>
          <w:szCs w:val="24"/>
        </w:rPr>
        <w:t>(R4R LibGuide)</w:t>
      </w:r>
    </w:p>
    <w:p w:rsidR="00E702C7" w:rsidRDefault="00E702C7" w:rsidP="00E702C7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E702C7">
        <w:rPr>
          <w:rFonts w:eastAsia="Times New Roman" w:cs="Times New Roman"/>
          <w:sz w:val="24"/>
          <w:szCs w:val="24"/>
        </w:rPr>
        <w:t>Davis, L. (200</w:t>
      </w:r>
      <w:r>
        <w:rPr>
          <w:rFonts w:eastAsia="Times New Roman" w:cs="Times New Roman"/>
          <w:sz w:val="24"/>
          <w:szCs w:val="24"/>
        </w:rPr>
        <w:t>1).</w:t>
      </w:r>
      <w:r w:rsidR="000F2D7C">
        <w:rPr>
          <w:rFonts w:eastAsia="Times New Roman" w:cs="Times New Roman"/>
          <w:sz w:val="24"/>
          <w:szCs w:val="24"/>
        </w:rPr>
        <w:t xml:space="preserve">  Betrayal. In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 </w:t>
      </w:r>
      <w:r w:rsidRPr="00935AA3">
        <w:rPr>
          <w:rFonts w:eastAsia="Times New Roman" w:cs="Times New Roman"/>
          <w:i/>
          <w:sz w:val="24"/>
          <w:szCs w:val="24"/>
        </w:rPr>
        <w:t>Samuel Johnson is indignant</w:t>
      </w:r>
      <w:r w:rsidRPr="00935AA3">
        <w:rPr>
          <w:rFonts w:eastAsia="Times New Roman" w:cs="Times New Roman"/>
          <w:i/>
          <w:sz w:val="24"/>
          <w:szCs w:val="24"/>
        </w:rPr>
        <w:t>: stories</w:t>
      </w:r>
      <w:r w:rsidRPr="00E702C7">
        <w:rPr>
          <w:rFonts w:eastAsia="Times New Roman" w:cs="Times New Roman"/>
          <w:sz w:val="24"/>
          <w:szCs w:val="24"/>
        </w:rPr>
        <w:t>. Brooklyn, N.Y: McSweeney’s Books.</w:t>
      </w:r>
      <w:r w:rsidRPr="00E702C7">
        <w:rPr>
          <w:rFonts w:eastAsia="Times New Roman" w:cs="Times New Roman"/>
          <w:b/>
          <w:sz w:val="24"/>
          <w:szCs w:val="24"/>
        </w:rPr>
        <w:t xml:space="preserve"> </w:t>
      </w:r>
    </w:p>
    <w:p w:rsidR="00E702C7" w:rsidRDefault="00E702C7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26708F" w:rsidRPr="0026708F" w:rsidRDefault="0026708F" w:rsidP="00E702C7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 w:rsidRPr="0026708F">
        <w:rPr>
          <w:rFonts w:eastAsia="Times New Roman" w:cs="Times New Roman"/>
          <w:b/>
          <w:sz w:val="32"/>
          <w:szCs w:val="32"/>
        </w:rPr>
        <w:t>Notes on discussion</w:t>
      </w:r>
    </w:p>
    <w:p w:rsidR="0026708F" w:rsidRDefault="0026708F" w:rsidP="0026708F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233407">
        <w:rPr>
          <w:rFonts w:eastAsia="Times New Roman" w:cs="Times New Roman"/>
          <w:sz w:val="24"/>
          <w:szCs w:val="24"/>
        </w:rPr>
        <w:t>The discussion questions</w:t>
      </w:r>
      <w:r>
        <w:rPr>
          <w:rFonts w:eastAsia="Times New Roman" w:cs="Times New Roman"/>
          <w:sz w:val="24"/>
          <w:szCs w:val="24"/>
        </w:rPr>
        <w:t xml:space="preserve"> provided here are suggestions</w:t>
      </w:r>
      <w:r w:rsidRPr="00233407">
        <w:rPr>
          <w:rFonts w:eastAsia="Times New Roman" w:cs="Times New Roman"/>
          <w:sz w:val="24"/>
          <w:szCs w:val="24"/>
        </w:rPr>
        <w:t>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Groups should not feel required to work in order or to address all of them.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Instead, these questions are meant to solicit observations that can lead to connections.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Those connections can be to personal experience; participants should feel free to share if their experiences can help the group get some insight into the topic at hand, since after all that’s the point of the exercise.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Don’t feel compelled to jump to the “point” or “lesson” of the text right away.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Philosophically speaking, the text doesn’t contain the “lesson”; if anything, the discussion does.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Give that discussion time to develop, and make sure participants respond to or build on each other’s points rather than jumping around.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If you’re having trouble getting the ball rolling or finding something insightful to say, try focusing on a particularly complex passage and figuring out what makes it hard to follow or makes sense of.</w:t>
      </w:r>
      <w:r w:rsidR="00890E86">
        <w:rPr>
          <w:rFonts w:eastAsia="Times New Roman" w:cs="Times New Roman"/>
          <w:sz w:val="24"/>
          <w:szCs w:val="24"/>
        </w:rPr>
        <w:t xml:space="preserve"> </w:t>
      </w:r>
      <w:r w:rsidRPr="00233407">
        <w:rPr>
          <w:rFonts w:eastAsia="Times New Roman" w:cs="Times New Roman"/>
          <w:sz w:val="24"/>
          <w:szCs w:val="24"/>
        </w:rPr>
        <w:t>Don’t be afraid of asking questions you don’t know the answer to; articulating a question can be just as valuable to a discussion as providing an answer.</w:t>
      </w:r>
    </w:p>
    <w:p w:rsidR="00D82299" w:rsidRDefault="00D82299" w:rsidP="0026708F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D82299" w:rsidRPr="00D82299" w:rsidRDefault="00D82299" w:rsidP="0026708F">
      <w:pPr>
        <w:spacing w:after="120" w:line="240" w:lineRule="auto"/>
        <w:rPr>
          <w:rFonts w:eastAsia="Times New Roman" w:cs="Times New Roman"/>
          <w:b/>
          <w:sz w:val="32"/>
          <w:szCs w:val="32"/>
        </w:rPr>
      </w:pPr>
      <w:r w:rsidRPr="00D82299">
        <w:rPr>
          <w:rFonts w:eastAsia="Times New Roman" w:cs="Times New Roman"/>
          <w:b/>
          <w:sz w:val="32"/>
          <w:szCs w:val="32"/>
        </w:rPr>
        <w:t>About the author</w:t>
      </w:r>
    </w:p>
    <w:p w:rsidR="00D82299" w:rsidRDefault="00626C46" w:rsidP="0026708F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626C46">
        <w:rPr>
          <w:rFonts w:eastAsia="Times New Roman" w:cs="Times New Roman"/>
          <w:b/>
          <w:bCs/>
          <w:sz w:val="24"/>
          <w:szCs w:val="24"/>
        </w:rPr>
        <w:t>Lydia Davis</w:t>
      </w:r>
      <w:r w:rsidRPr="00626C46">
        <w:rPr>
          <w:rFonts w:eastAsia="Times New Roman" w:cs="Times New Roman"/>
          <w:sz w:val="24"/>
          <w:szCs w:val="24"/>
        </w:rPr>
        <w:t xml:space="preserve"> (born July 15, 1947) is an American writer noted for literary works of extreme brevity (commonly called "flash fiction</w:t>
      </w:r>
      <w:r>
        <w:rPr>
          <w:rFonts w:eastAsia="Times New Roman" w:cs="Times New Roman"/>
          <w:sz w:val="24"/>
          <w:szCs w:val="24"/>
        </w:rPr>
        <w:t xml:space="preserve">"). </w:t>
      </w:r>
      <w:r w:rsidRPr="00626C46">
        <w:rPr>
          <w:rFonts w:eastAsia="Times New Roman" w:cs="Times New Roman"/>
          <w:sz w:val="24"/>
          <w:szCs w:val="24"/>
        </w:rPr>
        <w:t xml:space="preserve"> Davis is also a short story writer, novelist, essayist, and translator from French and other languages, and has produced several new translations of French literary classics, including </w:t>
      </w:r>
      <w:r w:rsidRPr="00626C46">
        <w:rPr>
          <w:rFonts w:eastAsia="Times New Roman" w:cs="Times New Roman"/>
          <w:i/>
          <w:iCs/>
          <w:sz w:val="24"/>
          <w:szCs w:val="24"/>
        </w:rPr>
        <w:t>Swann’s Way</w:t>
      </w:r>
      <w:r w:rsidRPr="00626C46">
        <w:rPr>
          <w:rFonts w:eastAsia="Times New Roman" w:cs="Times New Roman"/>
          <w:sz w:val="24"/>
          <w:szCs w:val="24"/>
        </w:rPr>
        <w:t xml:space="preserve"> by Marcel Proust and </w:t>
      </w:r>
      <w:r w:rsidRPr="00626C46">
        <w:rPr>
          <w:rFonts w:eastAsia="Times New Roman" w:cs="Times New Roman"/>
          <w:i/>
          <w:iCs/>
          <w:sz w:val="24"/>
          <w:szCs w:val="24"/>
        </w:rPr>
        <w:t>Madame Bovary</w:t>
      </w:r>
      <w:r w:rsidRPr="00626C46">
        <w:rPr>
          <w:rFonts w:eastAsia="Times New Roman" w:cs="Times New Roman"/>
          <w:sz w:val="24"/>
          <w:szCs w:val="24"/>
        </w:rPr>
        <w:t xml:space="preserve"> by Gustave Flaubert.</w:t>
      </w:r>
      <w:r w:rsidR="00D82299">
        <w:rPr>
          <w:rFonts w:eastAsia="Times New Roman" w:cs="Times New Roman"/>
          <w:sz w:val="24"/>
          <w:szCs w:val="24"/>
        </w:rPr>
        <w:t xml:space="preserve"> [Wikipedia]</w:t>
      </w:r>
    </w:p>
    <w:p w:rsidR="002A0040" w:rsidRDefault="002A0040">
      <w:pPr>
        <w:rPr>
          <w:sz w:val="24"/>
          <w:szCs w:val="24"/>
        </w:rPr>
      </w:pPr>
    </w:p>
    <w:p w:rsidR="00D82299" w:rsidRDefault="00D82299">
      <w:pPr>
        <w:rPr>
          <w:b/>
          <w:sz w:val="32"/>
          <w:szCs w:val="32"/>
        </w:rPr>
      </w:pPr>
      <w:r w:rsidRPr="00D82299">
        <w:rPr>
          <w:b/>
          <w:sz w:val="32"/>
          <w:szCs w:val="32"/>
        </w:rPr>
        <w:t>Short story collections</w:t>
      </w:r>
      <w:r>
        <w:rPr>
          <w:b/>
          <w:sz w:val="32"/>
          <w:szCs w:val="32"/>
        </w:rPr>
        <w:t xml:space="preserve"> by</w:t>
      </w:r>
      <w:r w:rsidRPr="00D82299">
        <w:rPr>
          <w:b/>
          <w:sz w:val="32"/>
          <w:szCs w:val="32"/>
        </w:rPr>
        <w:t xml:space="preserve"> the same author</w:t>
      </w:r>
    </w:p>
    <w:p w:rsidR="00D82299" w:rsidRPr="00D82299" w:rsidRDefault="00D82299" w:rsidP="00D82299">
      <w:pPr>
        <w:spacing w:after="0" w:line="240" w:lineRule="auto"/>
        <w:rPr>
          <w:sz w:val="24"/>
          <w:szCs w:val="24"/>
        </w:rPr>
      </w:pPr>
    </w:p>
    <w:p w:rsidR="00D82299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The Thirteenth Woman and Other Stories</w:t>
      </w:r>
      <w:r>
        <w:rPr>
          <w:sz w:val="24"/>
          <w:szCs w:val="24"/>
        </w:rPr>
        <w:t>.  Living Hand, 1976.</w:t>
      </w:r>
    </w:p>
    <w:p w:rsidR="00626C46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Story and Other Stories</w:t>
      </w:r>
      <w:r>
        <w:rPr>
          <w:sz w:val="24"/>
          <w:szCs w:val="24"/>
        </w:rPr>
        <w:t>.  The Figures, 1985.</w:t>
      </w:r>
    </w:p>
    <w:p w:rsidR="00626C46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Break It Down</w:t>
      </w:r>
      <w:r>
        <w:rPr>
          <w:sz w:val="24"/>
          <w:szCs w:val="24"/>
        </w:rPr>
        <w:t>.  Farrar, Straus &amp; Giroux, 1986.</w:t>
      </w:r>
    </w:p>
    <w:p w:rsidR="00626C46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Almost No Memory</w:t>
      </w:r>
      <w:r>
        <w:rPr>
          <w:sz w:val="24"/>
          <w:szCs w:val="24"/>
        </w:rPr>
        <w:t>.  Farrar, Straus &amp; Giroux, 1997.</w:t>
      </w:r>
    </w:p>
    <w:p w:rsidR="00626C46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Samuel Johnson Is Indignant</w:t>
      </w:r>
      <w:r>
        <w:rPr>
          <w:sz w:val="24"/>
          <w:szCs w:val="24"/>
        </w:rPr>
        <w:t>.  McSweeney’s, 2001.</w:t>
      </w:r>
    </w:p>
    <w:p w:rsidR="00626C46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Varieties of Disturbance</w:t>
      </w:r>
      <w:r>
        <w:rPr>
          <w:sz w:val="24"/>
          <w:szCs w:val="24"/>
        </w:rPr>
        <w:t>.  Farrar, Straus &amp; Giroux, 2007.</w:t>
      </w:r>
    </w:p>
    <w:p w:rsidR="00626C46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The Collected Stories of Lydia Davis</w:t>
      </w:r>
      <w:r>
        <w:rPr>
          <w:sz w:val="24"/>
          <w:szCs w:val="24"/>
        </w:rPr>
        <w:t>.  Farrar, Straus &amp; Giroux, 2009.</w:t>
      </w:r>
    </w:p>
    <w:p w:rsidR="00626C46" w:rsidRPr="00626C46" w:rsidRDefault="00626C46" w:rsidP="00D8229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Can’t and Won’t: Stories</w:t>
      </w:r>
      <w:r>
        <w:rPr>
          <w:sz w:val="24"/>
          <w:szCs w:val="24"/>
        </w:rPr>
        <w:t>.  Farrar, Straus &amp; Giroux, 2014.</w:t>
      </w:r>
    </w:p>
    <w:sectPr w:rsidR="00626C46" w:rsidRPr="00626C46" w:rsidSect="00D76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9E" w:rsidRDefault="0071139E" w:rsidP="0026708F">
      <w:pPr>
        <w:spacing w:after="0" w:line="240" w:lineRule="auto"/>
      </w:pPr>
      <w:r>
        <w:separator/>
      </w:r>
    </w:p>
  </w:endnote>
  <w:endnote w:type="continuationSeparator" w:id="0">
    <w:p w:rsidR="0071139E" w:rsidRDefault="0071139E" w:rsidP="002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3A" w:rsidRDefault="00D61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3A" w:rsidRPr="00D76732" w:rsidRDefault="00D61E3A" w:rsidP="00D61E3A">
    <w:pPr>
      <w:jc w:val="center"/>
      <w:rPr>
        <w:b/>
        <w:sz w:val="20"/>
        <w:szCs w:val="20"/>
      </w:rPr>
    </w:pPr>
  </w:p>
  <w:p w:rsidR="00D61E3A" w:rsidRPr="0026708F" w:rsidRDefault="00D61E3A" w:rsidP="00D61E3A">
    <w:pPr>
      <w:jc w:val="center"/>
      <w:rPr>
        <w:sz w:val="28"/>
        <w:szCs w:val="28"/>
      </w:rPr>
    </w:pPr>
    <w:r w:rsidRPr="0026708F">
      <w:rPr>
        <w:rFonts w:eastAsia="Times New Roman" w:cs="Times New Roman"/>
        <w:sz w:val="28"/>
        <w:szCs w:val="28"/>
      </w:rPr>
      <w:t>Nicholas Allred</w:t>
    </w:r>
    <w:r>
      <w:rPr>
        <w:rFonts w:eastAsia="Times New Roman" w:cs="Times New Roman"/>
        <w:sz w:val="28"/>
        <w:szCs w:val="28"/>
      </w:rPr>
      <w:t xml:space="preserve"> (RUL-NB)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3A" w:rsidRDefault="00D6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9E" w:rsidRDefault="0071139E" w:rsidP="0026708F">
      <w:pPr>
        <w:spacing w:after="0" w:line="240" w:lineRule="auto"/>
      </w:pPr>
      <w:r>
        <w:separator/>
      </w:r>
    </w:p>
  </w:footnote>
  <w:footnote w:type="continuationSeparator" w:id="0">
    <w:p w:rsidR="0071139E" w:rsidRDefault="0071139E" w:rsidP="0026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3A" w:rsidRDefault="00D61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F" w:rsidRDefault="00D61E3A" w:rsidP="0026708F">
    <w:pPr>
      <w:jc w:val="center"/>
      <w:rPr>
        <w:b/>
        <w:sz w:val="40"/>
        <w:szCs w:val="40"/>
      </w:rPr>
    </w:pPr>
    <w:r>
      <w:rPr>
        <w:b/>
        <w:sz w:val="40"/>
        <w:szCs w:val="40"/>
      </w:rPr>
      <w:t>BWR</w:t>
    </w:r>
    <w:r w:rsidR="0026708F" w:rsidRPr="0026708F">
      <w:rPr>
        <w:b/>
        <w:sz w:val="40"/>
        <w:szCs w:val="40"/>
      </w:rPr>
      <w:t xml:space="preserve"> Discussion Worksheet</w:t>
    </w:r>
  </w:p>
  <w:p w:rsidR="00D76732" w:rsidRPr="00D76732" w:rsidRDefault="00D76732" w:rsidP="0026708F">
    <w:pPr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3A" w:rsidRDefault="00D6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7A43"/>
    <w:multiLevelType w:val="multilevel"/>
    <w:tmpl w:val="488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40FDD"/>
    <w:multiLevelType w:val="multilevel"/>
    <w:tmpl w:val="8D66053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40"/>
    <w:rsid w:val="0001595C"/>
    <w:rsid w:val="00022E7E"/>
    <w:rsid w:val="0007115D"/>
    <w:rsid w:val="00092295"/>
    <w:rsid w:val="000A2B08"/>
    <w:rsid w:val="000E32A4"/>
    <w:rsid w:val="000F2D7C"/>
    <w:rsid w:val="002149A0"/>
    <w:rsid w:val="00233407"/>
    <w:rsid w:val="00256032"/>
    <w:rsid w:val="0026708F"/>
    <w:rsid w:val="002A0040"/>
    <w:rsid w:val="002A3611"/>
    <w:rsid w:val="002B5D62"/>
    <w:rsid w:val="00345A1F"/>
    <w:rsid w:val="00371661"/>
    <w:rsid w:val="003806DA"/>
    <w:rsid w:val="003F0535"/>
    <w:rsid w:val="00475B96"/>
    <w:rsid w:val="005F02F7"/>
    <w:rsid w:val="00626C46"/>
    <w:rsid w:val="006577F9"/>
    <w:rsid w:val="006765F7"/>
    <w:rsid w:val="006B7FD7"/>
    <w:rsid w:val="006C043E"/>
    <w:rsid w:val="00702CCE"/>
    <w:rsid w:val="0071139E"/>
    <w:rsid w:val="007A2E6A"/>
    <w:rsid w:val="007B1759"/>
    <w:rsid w:val="007B63E2"/>
    <w:rsid w:val="008433AE"/>
    <w:rsid w:val="00890E86"/>
    <w:rsid w:val="008A6D17"/>
    <w:rsid w:val="008F4EAA"/>
    <w:rsid w:val="00914E86"/>
    <w:rsid w:val="00935AA3"/>
    <w:rsid w:val="009665F2"/>
    <w:rsid w:val="00A46910"/>
    <w:rsid w:val="00A565D7"/>
    <w:rsid w:val="00AD2946"/>
    <w:rsid w:val="00B80932"/>
    <w:rsid w:val="00BC0F3A"/>
    <w:rsid w:val="00BF7534"/>
    <w:rsid w:val="00C43FF8"/>
    <w:rsid w:val="00CE7171"/>
    <w:rsid w:val="00D24BE3"/>
    <w:rsid w:val="00D5213C"/>
    <w:rsid w:val="00D61E3A"/>
    <w:rsid w:val="00D63C21"/>
    <w:rsid w:val="00D76732"/>
    <w:rsid w:val="00D82299"/>
    <w:rsid w:val="00DF399F"/>
    <w:rsid w:val="00E107BE"/>
    <w:rsid w:val="00E1185D"/>
    <w:rsid w:val="00E702C7"/>
    <w:rsid w:val="00E9545F"/>
    <w:rsid w:val="00EB2480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7245A"/>
  <w15:docId w15:val="{BEE6AD99-96B7-46AF-A3B7-49CEFFF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8F"/>
  </w:style>
  <w:style w:type="paragraph" w:styleId="Footer">
    <w:name w:val="footer"/>
    <w:basedOn w:val="Normal"/>
    <w:link w:val="FooterChar"/>
    <w:uiPriority w:val="99"/>
    <w:unhideWhenUsed/>
    <w:rsid w:val="0026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8F"/>
  </w:style>
  <w:style w:type="character" w:styleId="Hyperlink">
    <w:name w:val="Hyperlink"/>
    <w:basedOn w:val="DefaultParagraphFont"/>
    <w:uiPriority w:val="99"/>
    <w:unhideWhenUsed/>
    <w:rsid w:val="0009229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02C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2C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2C7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2C7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alchref</dc:creator>
  <cp:lastModifiedBy>Windows User</cp:lastModifiedBy>
  <cp:revision>4</cp:revision>
  <cp:lastPrinted>2019-09-18T18:21:00Z</cp:lastPrinted>
  <dcterms:created xsi:type="dcterms:W3CDTF">2019-10-09T20:17:00Z</dcterms:created>
  <dcterms:modified xsi:type="dcterms:W3CDTF">2019-10-09T20:23:00Z</dcterms:modified>
</cp:coreProperties>
</file>