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534" w:rsidRDefault="00BF7534" w:rsidP="0024121E">
      <w:pPr>
        <w:spacing w:after="120" w:line="240" w:lineRule="auto"/>
        <w:rPr>
          <w:rFonts w:eastAsia="Times New Roman" w:cs="Times New Roman"/>
          <w:b/>
          <w:sz w:val="32"/>
          <w:szCs w:val="32"/>
        </w:rPr>
      </w:pPr>
      <w:r w:rsidRPr="0026708F">
        <w:rPr>
          <w:rFonts w:eastAsia="Times New Roman" w:cs="Times New Roman"/>
          <w:noProof/>
          <w:sz w:val="32"/>
          <w:szCs w:val="32"/>
        </w:rPr>
        <mc:AlternateContent>
          <mc:Choice Requires="wps">
            <w:drawing>
              <wp:anchor distT="45720" distB="45720" distL="114300" distR="114300" simplePos="0" relativeHeight="251659264" behindDoc="0" locked="0" layoutInCell="1" allowOverlap="1" wp14:anchorId="09E1525A" wp14:editId="2421093C">
                <wp:simplePos x="0" y="0"/>
                <wp:positionH relativeFrom="margin">
                  <wp:posOffset>1895475</wp:posOffset>
                </wp:positionH>
                <wp:positionV relativeFrom="paragraph">
                  <wp:posOffset>1905</wp:posOffset>
                </wp:positionV>
                <wp:extent cx="4236720" cy="184785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1847850"/>
                        </a:xfrm>
                        <a:prstGeom prst="rect">
                          <a:avLst/>
                        </a:prstGeom>
                        <a:solidFill>
                          <a:schemeClr val="bg1">
                            <a:lumMod val="75000"/>
                          </a:schemeClr>
                        </a:solidFill>
                        <a:ln w="9525">
                          <a:solidFill>
                            <a:srgbClr val="000000"/>
                          </a:solidFill>
                          <a:miter lim="800000"/>
                          <a:headEnd/>
                          <a:tailEnd/>
                        </a:ln>
                      </wps:spPr>
                      <wps:txbx>
                        <w:txbxContent>
                          <w:p w:rsidR="0026708F" w:rsidRPr="001F5B3F" w:rsidRDefault="0026708F" w:rsidP="0026708F">
                            <w:pPr>
                              <w:spacing w:after="120" w:line="240" w:lineRule="auto"/>
                              <w:rPr>
                                <w:rFonts w:eastAsia="Times New Roman" w:cs="Times New Roman"/>
                                <w:b/>
                                <w:sz w:val="28"/>
                                <w:szCs w:val="28"/>
                              </w:rPr>
                            </w:pPr>
                            <w:r w:rsidRPr="001F5B3F">
                              <w:rPr>
                                <w:rFonts w:eastAsia="Times New Roman" w:cs="Times New Roman"/>
                                <w:b/>
                                <w:sz w:val="28"/>
                                <w:szCs w:val="28"/>
                              </w:rPr>
                              <w:t>Synopsis</w:t>
                            </w:r>
                          </w:p>
                          <w:p w:rsidR="00CE7171" w:rsidRPr="00615AE8" w:rsidRDefault="001F5B3F" w:rsidP="00261956">
                            <w:r>
                              <w:t xml:space="preserve">A couple opens their home to a stranger who says he lived there as a child.  Joyce Carol Oates narrates the couple’s growing unease with the stranger’s visit in a restrained, matter-of-fact style, </w:t>
                            </w:r>
                            <w:r w:rsidR="00615AE8">
                              <w:t>capturing the anger and dread lying just behind the appearance of middle-class respectability</w:t>
                            </w:r>
                            <w:r>
                              <w:t xml:space="preserve">.  Part comedy of manners, part </w:t>
                            </w:r>
                            <w:r w:rsidR="00615AE8">
                              <w:t>bourgeois</w:t>
                            </w:r>
                            <w:r>
                              <w:t xml:space="preserve"> tragedy, </w:t>
                            </w:r>
                            <w:r w:rsidR="00615AE8">
                              <w:t xml:space="preserve">“Where </w:t>
                            </w:r>
                            <w:r w:rsidR="00615AE8" w:rsidRPr="00261956">
                              <w:t>Is</w:t>
                            </w:r>
                            <w:r w:rsidR="00615AE8">
                              <w:t xml:space="preserve"> Here?” </w:t>
                            </w:r>
                            <w:r w:rsidR="00261956">
                              <w:t>poses the</w:t>
                            </w:r>
                            <w:r w:rsidR="00615AE8">
                              <w:t xml:space="preserve"> question of what makes a house into a home in w</w:t>
                            </w:r>
                            <w:r w:rsidR="00261956">
                              <w:t>ays that no greeting card or throw pillow would dare!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1525A" id="_x0000_t202" coordsize="21600,21600" o:spt="202" path="m,l,21600r21600,l21600,xe">
                <v:stroke joinstyle="miter"/>
                <v:path gradientshapeok="t" o:connecttype="rect"/>
              </v:shapetype>
              <v:shape id="Text Box 2" o:spid="_x0000_s1026" type="#_x0000_t202" style="position:absolute;margin-left:149.25pt;margin-top:.15pt;width:333.6pt;height:14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" fillcolor="#bfbfbf [2412]">
                <v:textbox>
                  <w:txbxContent>
                    <w:p w:rsidR="0026708F" w:rsidRPr="001F5B3F" w:rsidRDefault="0026708F" w:rsidP="0026708F">
                      <w:pPr>
                        <w:spacing w:after="120" w:line="240" w:lineRule="auto"/>
                        <w:rPr>
                          <w:rFonts w:eastAsia="Times New Roman" w:cs="Times New Roman"/>
                          <w:b/>
                          <w:sz w:val="28"/>
                          <w:szCs w:val="28"/>
                        </w:rPr>
                      </w:pPr>
                      <w:r w:rsidRPr="001F5B3F">
                        <w:rPr>
                          <w:rFonts w:eastAsia="Times New Roman" w:cs="Times New Roman"/>
                          <w:b/>
                          <w:sz w:val="28"/>
                          <w:szCs w:val="28"/>
                        </w:rPr>
                        <w:t>Synopsis</w:t>
                      </w:r>
                    </w:p>
                    <w:p w:rsidR="00CE7171" w:rsidRPr="00615AE8" w:rsidRDefault="001F5B3F" w:rsidP="00261956">
                      <w:r>
                        <w:t xml:space="preserve">A couple opens their home to a stranger who says he lived there as a child.  Joyce Carol Oates narrates the couple’s growing unease with the stranger’s visit in a restrained, matter-of-fact style, </w:t>
                      </w:r>
                      <w:r w:rsidR="00615AE8">
                        <w:t>capturing the anger and dread lying just behind the appearance of middle-class respectability</w:t>
                      </w:r>
                      <w:r>
                        <w:t xml:space="preserve">.  Part comedy of manners, part </w:t>
                      </w:r>
                      <w:r w:rsidR="00615AE8">
                        <w:t>bourgeois</w:t>
                      </w:r>
                      <w:r>
                        <w:t xml:space="preserve"> tragedy, </w:t>
                      </w:r>
                      <w:r w:rsidR="00615AE8">
                        <w:t xml:space="preserve">“Where </w:t>
                      </w:r>
                      <w:r w:rsidR="00615AE8" w:rsidRPr="00261956">
                        <w:t>Is</w:t>
                      </w:r>
                      <w:r w:rsidR="00615AE8">
                        <w:t xml:space="preserve"> Here?” </w:t>
                      </w:r>
                      <w:r w:rsidR="00261956">
                        <w:t>poses the</w:t>
                      </w:r>
                      <w:r w:rsidR="00615AE8">
                        <w:t xml:space="preserve"> question of what makes a house into a home in w</w:t>
                      </w:r>
                      <w:r w:rsidR="00261956">
                        <w:t>ays that no greeting card or throw pillow would dare!</w:t>
                      </w:r>
                    </w:p>
                  </w:txbxContent>
                </v:textbox>
                <w10:wrap type="square" anchorx="margin"/>
              </v:shape>
            </w:pict>
          </mc:Fallback>
        </mc:AlternateContent>
      </w:r>
      <w:r w:rsidR="002B5D62">
        <w:rPr>
          <w:rFonts w:eastAsia="Times New Roman" w:cs="Times New Roman"/>
          <w:b/>
          <w:sz w:val="32"/>
          <w:szCs w:val="32"/>
        </w:rPr>
        <w:t xml:space="preserve"> </w:t>
      </w:r>
      <w:r w:rsidR="007A2E6A">
        <w:rPr>
          <w:rFonts w:eastAsia="Times New Roman" w:cs="Times New Roman"/>
          <w:b/>
          <w:sz w:val="32"/>
          <w:szCs w:val="32"/>
        </w:rPr>
        <w:t xml:space="preserve"> </w:t>
      </w:r>
      <w:r w:rsidR="0024121E" w:rsidRPr="0024121E">
        <w:rPr>
          <w:noProof/>
        </w:rPr>
        <w:drawing>
          <wp:inline distT="0" distB="0" distL="0" distR="0">
            <wp:extent cx="1504950" cy="2241702"/>
            <wp:effectExtent l="0" t="0" r="0" b="6350"/>
            <wp:docPr id="2" name="Picture 2" descr="https://images-na.ssl-images-amazon.com/images/I/41RKX3Ndb9L._SX33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41RKX3Ndb9L._SX333_BO1,204,203,200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300" cy="2257119"/>
                    </a:xfrm>
                    <a:prstGeom prst="rect">
                      <a:avLst/>
                    </a:prstGeom>
                    <a:noFill/>
                    <a:ln>
                      <a:noFill/>
                    </a:ln>
                  </pic:spPr>
                </pic:pic>
              </a:graphicData>
            </a:graphic>
          </wp:inline>
        </w:drawing>
      </w:r>
      <w:bookmarkStart w:id="0" w:name="_GoBack"/>
      <w:bookmarkEnd w:id="0"/>
    </w:p>
    <w:p w:rsidR="00890E86" w:rsidRPr="00D76732" w:rsidRDefault="00890E86" w:rsidP="00233407">
      <w:pPr>
        <w:spacing w:after="120" w:line="240" w:lineRule="auto"/>
        <w:rPr>
          <w:rFonts w:eastAsia="Times New Roman" w:cs="Times New Roman"/>
          <w:b/>
        </w:rPr>
      </w:pPr>
    </w:p>
    <w:p w:rsidR="00022E7E" w:rsidRPr="0026708F" w:rsidRDefault="0026708F" w:rsidP="00233407">
      <w:pPr>
        <w:spacing w:after="120" w:line="240" w:lineRule="auto"/>
        <w:rPr>
          <w:rFonts w:eastAsia="Times New Roman" w:cs="Times New Roman"/>
          <w:b/>
          <w:sz w:val="32"/>
          <w:szCs w:val="32"/>
        </w:rPr>
      </w:pPr>
      <w:r w:rsidRPr="0026708F">
        <w:rPr>
          <w:rFonts w:eastAsia="Times New Roman" w:cs="Times New Roman"/>
          <w:b/>
          <w:sz w:val="32"/>
          <w:szCs w:val="32"/>
        </w:rPr>
        <w:t>Questions</w:t>
      </w:r>
    </w:p>
    <w:p w:rsidR="00261956" w:rsidRPr="00261956" w:rsidRDefault="00261956" w:rsidP="00261956">
      <w:pPr>
        <w:pStyle w:val="ListParagraph"/>
        <w:spacing w:after="0" w:line="240" w:lineRule="auto"/>
        <w:rPr>
          <w:rFonts w:ascii="Times New Roman" w:eastAsia="Times New Roman" w:hAnsi="Times New Roman" w:cs="Times New Roman"/>
          <w:sz w:val="24"/>
          <w:szCs w:val="24"/>
        </w:rPr>
      </w:pPr>
    </w:p>
    <w:p w:rsidR="00261956" w:rsidRPr="00261956" w:rsidRDefault="00261956" w:rsidP="00261956">
      <w:pPr>
        <w:pStyle w:val="ListParagraph"/>
        <w:numPr>
          <w:ilvl w:val="0"/>
          <w:numId w:val="1"/>
        </w:numPr>
        <w:spacing w:after="0" w:line="240" w:lineRule="auto"/>
        <w:rPr>
          <w:rFonts w:eastAsia="Times New Roman" w:cstheme="minorHAnsi"/>
          <w:sz w:val="24"/>
          <w:szCs w:val="24"/>
        </w:rPr>
      </w:pPr>
      <w:r w:rsidRPr="00261956">
        <w:rPr>
          <w:rFonts w:eastAsia="Times New Roman" w:cstheme="minorHAnsi"/>
          <w:color w:val="000000"/>
          <w:sz w:val="24"/>
          <w:szCs w:val="24"/>
        </w:rPr>
        <w:t>What might be “enormously exciting yet intimidating” about returning to your childhood house where a new family now lives?  What might be uncomfortable about watching a stranger who once lived in your house explore it?</w:t>
      </w:r>
    </w:p>
    <w:p w:rsidR="00261956" w:rsidRPr="00261956" w:rsidRDefault="00261956" w:rsidP="00261956">
      <w:pPr>
        <w:pStyle w:val="ListParagraph"/>
        <w:spacing w:after="0" w:line="240" w:lineRule="auto"/>
        <w:rPr>
          <w:rFonts w:eastAsia="Times New Roman" w:cstheme="minorHAnsi"/>
          <w:sz w:val="24"/>
          <w:szCs w:val="24"/>
        </w:rPr>
      </w:pPr>
    </w:p>
    <w:p w:rsidR="00261956" w:rsidRPr="00261956" w:rsidRDefault="00261956" w:rsidP="00261956">
      <w:pPr>
        <w:pStyle w:val="ListParagraph"/>
        <w:numPr>
          <w:ilvl w:val="0"/>
          <w:numId w:val="1"/>
        </w:numPr>
        <w:spacing w:after="0" w:line="240" w:lineRule="auto"/>
        <w:rPr>
          <w:rFonts w:eastAsia="Times New Roman" w:cstheme="minorHAnsi"/>
          <w:sz w:val="24"/>
          <w:szCs w:val="24"/>
        </w:rPr>
      </w:pPr>
      <w:r w:rsidRPr="00261956">
        <w:rPr>
          <w:rFonts w:eastAsia="Times New Roman" w:cstheme="minorHAnsi"/>
          <w:color w:val="000000"/>
          <w:sz w:val="24"/>
          <w:szCs w:val="24"/>
        </w:rPr>
        <w:t xml:space="preserve">The characters in this story </w:t>
      </w:r>
      <w:proofErr w:type="gramStart"/>
      <w:r w:rsidRPr="00261956">
        <w:rPr>
          <w:rFonts w:eastAsia="Times New Roman" w:cstheme="minorHAnsi"/>
          <w:color w:val="000000"/>
          <w:sz w:val="24"/>
          <w:szCs w:val="24"/>
        </w:rPr>
        <w:t>are never named</w:t>
      </w:r>
      <w:proofErr w:type="gramEnd"/>
      <w:r w:rsidRPr="00261956">
        <w:rPr>
          <w:rFonts w:eastAsia="Times New Roman" w:cstheme="minorHAnsi"/>
          <w:color w:val="000000"/>
          <w:sz w:val="24"/>
          <w:szCs w:val="24"/>
        </w:rPr>
        <w:t xml:space="preserve"> — they are referred to as “the mother,” “the father,” “the stranger,” and “the son.”  Why might Oates choose to refer to them this way?  What would feel different about the story if </w:t>
      </w:r>
      <w:proofErr w:type="gramStart"/>
      <w:r w:rsidRPr="00261956">
        <w:rPr>
          <w:rFonts w:eastAsia="Times New Roman" w:cstheme="minorHAnsi"/>
          <w:color w:val="000000"/>
          <w:sz w:val="24"/>
          <w:szCs w:val="24"/>
        </w:rPr>
        <w:t>the characters were called by first names, or last names, or even “Mother” and “Father” as opposed to “the mother” and “the father</w:t>
      </w:r>
      <w:proofErr w:type="gramEnd"/>
      <w:r w:rsidRPr="00261956">
        <w:rPr>
          <w:rFonts w:eastAsia="Times New Roman" w:cstheme="minorHAnsi"/>
          <w:color w:val="000000"/>
          <w:sz w:val="24"/>
          <w:szCs w:val="24"/>
        </w:rPr>
        <w:t>”?</w:t>
      </w:r>
    </w:p>
    <w:p w:rsidR="00261956" w:rsidRPr="00261956" w:rsidRDefault="00261956" w:rsidP="00261956">
      <w:pPr>
        <w:pStyle w:val="ListParagraph"/>
        <w:spacing w:after="0" w:line="240" w:lineRule="auto"/>
        <w:rPr>
          <w:rFonts w:eastAsia="Times New Roman" w:cstheme="minorHAnsi"/>
          <w:sz w:val="24"/>
          <w:szCs w:val="24"/>
        </w:rPr>
      </w:pPr>
    </w:p>
    <w:p w:rsidR="00261956" w:rsidRPr="00261956" w:rsidRDefault="00261956" w:rsidP="00261956">
      <w:pPr>
        <w:pStyle w:val="ListParagraph"/>
        <w:numPr>
          <w:ilvl w:val="0"/>
          <w:numId w:val="1"/>
        </w:numPr>
        <w:spacing w:after="0" w:line="240" w:lineRule="auto"/>
        <w:rPr>
          <w:rFonts w:eastAsia="Times New Roman" w:cstheme="minorHAnsi"/>
          <w:sz w:val="24"/>
          <w:szCs w:val="24"/>
        </w:rPr>
      </w:pPr>
      <w:r w:rsidRPr="00261956">
        <w:rPr>
          <w:rFonts w:eastAsia="Times New Roman" w:cstheme="minorHAnsi"/>
          <w:color w:val="000000"/>
          <w:sz w:val="24"/>
          <w:szCs w:val="24"/>
        </w:rPr>
        <w:t>What does the stranger’s behavior suggest about his family life?  What do the mother’s and the father’s behavior suggest about theirs?</w:t>
      </w:r>
    </w:p>
    <w:p w:rsidR="00261956" w:rsidRPr="00261956" w:rsidRDefault="00261956" w:rsidP="00261956">
      <w:pPr>
        <w:pStyle w:val="ListParagraph"/>
        <w:spacing w:after="0" w:line="240" w:lineRule="auto"/>
        <w:rPr>
          <w:rFonts w:eastAsia="Times New Roman" w:cstheme="minorHAnsi"/>
          <w:sz w:val="24"/>
          <w:szCs w:val="24"/>
        </w:rPr>
      </w:pPr>
    </w:p>
    <w:p w:rsidR="00261956" w:rsidRPr="00261956" w:rsidRDefault="00261956" w:rsidP="00261956">
      <w:pPr>
        <w:pStyle w:val="ListParagraph"/>
        <w:numPr>
          <w:ilvl w:val="0"/>
          <w:numId w:val="1"/>
        </w:numPr>
        <w:spacing w:after="0" w:line="240" w:lineRule="auto"/>
        <w:rPr>
          <w:rFonts w:eastAsia="Times New Roman" w:cstheme="minorHAnsi"/>
          <w:sz w:val="24"/>
          <w:szCs w:val="24"/>
        </w:rPr>
      </w:pPr>
      <w:r w:rsidRPr="00261956">
        <w:rPr>
          <w:rFonts w:eastAsia="Times New Roman" w:cstheme="minorHAnsi"/>
          <w:color w:val="000000"/>
          <w:sz w:val="24"/>
          <w:szCs w:val="24"/>
        </w:rPr>
        <w:t>The basement, Oates writes, “</w:t>
      </w:r>
      <w:proofErr w:type="gramStart"/>
      <w:r w:rsidRPr="00261956">
        <w:rPr>
          <w:rFonts w:eastAsia="Times New Roman" w:cstheme="minorHAnsi"/>
          <w:color w:val="000000"/>
          <w:sz w:val="24"/>
          <w:szCs w:val="24"/>
        </w:rPr>
        <w:t>was</w:t>
      </w:r>
      <w:proofErr w:type="gramEnd"/>
      <w:r w:rsidRPr="00261956">
        <w:rPr>
          <w:rFonts w:eastAsia="Times New Roman" w:cstheme="minorHAnsi"/>
          <w:color w:val="000000"/>
          <w:sz w:val="24"/>
          <w:szCs w:val="24"/>
        </w:rPr>
        <w:t xml:space="preserve"> not a part of their house the father and mother would have been comfortable showing to a stranger.”  The basement is also the last thing the stranger asks to see as the father escorts him </w:t>
      </w:r>
      <w:proofErr w:type="gramStart"/>
      <w:r w:rsidRPr="00261956">
        <w:rPr>
          <w:rFonts w:eastAsia="Times New Roman" w:cstheme="minorHAnsi"/>
          <w:color w:val="000000"/>
          <w:sz w:val="24"/>
          <w:szCs w:val="24"/>
        </w:rPr>
        <w:t>out</w:t>
      </w:r>
      <w:proofErr w:type="gramEnd"/>
      <w:r w:rsidRPr="00261956">
        <w:rPr>
          <w:rFonts w:eastAsia="Times New Roman" w:cstheme="minorHAnsi"/>
          <w:color w:val="000000"/>
          <w:sz w:val="24"/>
          <w:szCs w:val="24"/>
        </w:rPr>
        <w:t>.  What significance might the basement have?  Do all families have a “basement” that they would rather not show?</w:t>
      </w:r>
    </w:p>
    <w:p w:rsidR="00261956" w:rsidRPr="00261956" w:rsidRDefault="00261956" w:rsidP="00261956">
      <w:pPr>
        <w:pStyle w:val="ListParagraph"/>
        <w:spacing w:after="0" w:line="240" w:lineRule="auto"/>
        <w:rPr>
          <w:rFonts w:eastAsia="Times New Roman" w:cstheme="minorHAnsi"/>
          <w:sz w:val="24"/>
          <w:szCs w:val="24"/>
        </w:rPr>
      </w:pPr>
    </w:p>
    <w:p w:rsidR="006B7857" w:rsidRPr="00261956" w:rsidRDefault="00261956" w:rsidP="00261956">
      <w:pPr>
        <w:pStyle w:val="ListParagraph"/>
        <w:numPr>
          <w:ilvl w:val="0"/>
          <w:numId w:val="1"/>
        </w:numPr>
        <w:spacing w:after="0" w:line="240" w:lineRule="auto"/>
        <w:rPr>
          <w:rFonts w:eastAsia="Times New Roman" w:cstheme="minorHAnsi"/>
          <w:sz w:val="24"/>
          <w:szCs w:val="24"/>
        </w:rPr>
      </w:pPr>
      <w:r w:rsidRPr="00261956">
        <w:rPr>
          <w:rFonts w:eastAsia="Times New Roman" w:cstheme="minorHAnsi"/>
          <w:color w:val="000000"/>
          <w:sz w:val="24"/>
          <w:szCs w:val="24"/>
        </w:rPr>
        <w:t xml:space="preserve">What do you make of the stranger’s riddles, and the father’s reaction to them?  </w:t>
      </w:r>
      <w:proofErr w:type="gramStart"/>
      <w:r w:rsidRPr="00261956">
        <w:rPr>
          <w:rFonts w:eastAsia="Times New Roman" w:cstheme="minorHAnsi"/>
          <w:color w:val="000000"/>
          <w:sz w:val="24"/>
          <w:szCs w:val="24"/>
        </w:rPr>
        <w:t>Follow the stranger’s instructions to the son for the “mathematical riddle” of infinite triangles within a square — how might this image relate to the story as a whole?</w:t>
      </w:r>
      <w:proofErr w:type="gramEnd"/>
    </w:p>
    <w:p w:rsidR="00A67F6C" w:rsidRDefault="00A67F6C" w:rsidP="006B7857">
      <w:pPr>
        <w:spacing w:after="120"/>
        <w:contextualSpacing/>
        <w:rPr>
          <w:sz w:val="24"/>
          <w:szCs w:val="24"/>
        </w:rPr>
      </w:pPr>
    </w:p>
    <w:p w:rsidR="002A0040" w:rsidRPr="006B7857" w:rsidRDefault="00D5213C" w:rsidP="006B7857">
      <w:pPr>
        <w:spacing w:after="120"/>
        <w:contextualSpacing/>
        <w:rPr>
          <w:sz w:val="32"/>
          <w:szCs w:val="32"/>
        </w:rPr>
      </w:pPr>
      <w:r w:rsidRPr="006B7857">
        <w:rPr>
          <w:b/>
          <w:sz w:val="32"/>
          <w:szCs w:val="32"/>
        </w:rPr>
        <w:t>References</w:t>
      </w:r>
      <w:r w:rsidRPr="006B7857">
        <w:rPr>
          <w:sz w:val="32"/>
          <w:szCs w:val="32"/>
        </w:rPr>
        <w:t xml:space="preserve"> </w:t>
      </w:r>
    </w:p>
    <w:p w:rsidR="00DF399F" w:rsidRDefault="00E9545F" w:rsidP="006577F9">
      <w:pPr>
        <w:spacing w:after="0" w:line="240" w:lineRule="auto"/>
        <w:ind w:left="720" w:hanging="720"/>
        <w:rPr>
          <w:rFonts w:eastAsia="Times New Roman" w:cs="Times New Roman"/>
          <w:sz w:val="24"/>
          <w:szCs w:val="24"/>
        </w:rPr>
      </w:pPr>
      <w:r>
        <w:rPr>
          <w:rFonts w:eastAsia="Times New Roman" w:cs="Times New Roman"/>
          <w:sz w:val="24"/>
          <w:szCs w:val="24"/>
        </w:rPr>
        <w:t xml:space="preserve">Allred, N. (2016). </w:t>
      </w:r>
      <w:r w:rsidR="00DF399F">
        <w:rPr>
          <w:rFonts w:eastAsia="Times New Roman" w:cs="Times New Roman"/>
          <w:sz w:val="24"/>
          <w:szCs w:val="24"/>
        </w:rPr>
        <w:t>R4R</w:t>
      </w:r>
      <w:r>
        <w:rPr>
          <w:rFonts w:eastAsia="Times New Roman" w:cs="Times New Roman"/>
          <w:sz w:val="24"/>
          <w:szCs w:val="24"/>
        </w:rPr>
        <w:t xml:space="preserve"> discussion blurb for facilitators</w:t>
      </w:r>
      <w:r w:rsidR="00DF399F">
        <w:rPr>
          <w:rFonts w:eastAsia="Times New Roman" w:cs="Times New Roman"/>
          <w:sz w:val="24"/>
          <w:szCs w:val="24"/>
        </w:rPr>
        <w:t>.</w:t>
      </w:r>
      <w:r>
        <w:rPr>
          <w:rFonts w:eastAsia="Times New Roman" w:cs="Times New Roman"/>
          <w:sz w:val="24"/>
          <w:szCs w:val="24"/>
        </w:rPr>
        <w:t xml:space="preserve"> </w:t>
      </w:r>
      <w:r w:rsidR="008F4EAA">
        <w:rPr>
          <w:rFonts w:eastAsia="Times New Roman" w:cs="Times New Roman"/>
          <w:sz w:val="24"/>
          <w:szCs w:val="24"/>
        </w:rPr>
        <w:t xml:space="preserve">(R4R </w:t>
      </w:r>
      <w:proofErr w:type="spellStart"/>
      <w:r w:rsidR="008F4EAA">
        <w:rPr>
          <w:rFonts w:eastAsia="Times New Roman" w:cs="Times New Roman"/>
          <w:sz w:val="24"/>
          <w:szCs w:val="24"/>
        </w:rPr>
        <w:t>LibGuide</w:t>
      </w:r>
      <w:proofErr w:type="spellEnd"/>
      <w:r w:rsidR="008F4EAA">
        <w:rPr>
          <w:rFonts w:eastAsia="Times New Roman" w:cs="Times New Roman"/>
          <w:sz w:val="24"/>
          <w:szCs w:val="24"/>
        </w:rPr>
        <w:t>)</w:t>
      </w:r>
    </w:p>
    <w:p w:rsidR="00D5213C" w:rsidRPr="00261956" w:rsidRDefault="00261956" w:rsidP="00261956">
      <w:pPr>
        <w:spacing w:after="0" w:line="240" w:lineRule="auto"/>
        <w:rPr>
          <w:rFonts w:eastAsia="Times New Roman" w:cs="Times New Roman"/>
          <w:sz w:val="24"/>
          <w:szCs w:val="24"/>
        </w:rPr>
      </w:pPr>
      <w:r>
        <w:rPr>
          <w:rFonts w:eastAsia="Times New Roman" w:cs="Times New Roman"/>
          <w:sz w:val="24"/>
          <w:szCs w:val="24"/>
        </w:rPr>
        <w:lastRenderedPageBreak/>
        <w:t>Oates, Joyce Carol.</w:t>
      </w:r>
      <w:r>
        <w:t xml:space="preserve">  “Where i</w:t>
      </w:r>
      <w:r w:rsidRPr="00261956">
        <w:t>s</w:t>
      </w:r>
      <w:r>
        <w:t xml:space="preserve"> Here?”  In </w:t>
      </w:r>
      <w:r>
        <w:rPr>
          <w:i/>
          <w:iCs/>
        </w:rPr>
        <w:t>Where is Here?  Stories by Joyce Carol Oates</w:t>
      </w:r>
      <w:r>
        <w:t xml:space="preserve">.  New York: </w:t>
      </w:r>
      <w:proofErr w:type="spellStart"/>
      <w:r>
        <w:t>Ecco</w:t>
      </w:r>
      <w:proofErr w:type="spellEnd"/>
      <w:r>
        <w:t>, 1992.</w:t>
      </w:r>
    </w:p>
    <w:p w:rsidR="00205DEE" w:rsidRDefault="00205DEE" w:rsidP="0026708F">
      <w:pPr>
        <w:spacing w:after="120" w:line="240" w:lineRule="auto"/>
        <w:rPr>
          <w:rFonts w:eastAsia="Times New Roman" w:cs="Times New Roman"/>
          <w:b/>
          <w:sz w:val="32"/>
          <w:szCs w:val="32"/>
        </w:rPr>
      </w:pPr>
    </w:p>
    <w:p w:rsidR="0026708F" w:rsidRPr="0026708F" w:rsidRDefault="0026708F" w:rsidP="0026708F">
      <w:pPr>
        <w:spacing w:after="120" w:line="240" w:lineRule="auto"/>
        <w:rPr>
          <w:rFonts w:eastAsia="Times New Roman" w:cs="Times New Roman"/>
          <w:b/>
          <w:sz w:val="32"/>
          <w:szCs w:val="32"/>
        </w:rPr>
      </w:pPr>
      <w:r w:rsidRPr="0026708F">
        <w:rPr>
          <w:rFonts w:eastAsia="Times New Roman" w:cs="Times New Roman"/>
          <w:b/>
          <w:sz w:val="32"/>
          <w:szCs w:val="32"/>
        </w:rPr>
        <w:t>Notes on discussion</w:t>
      </w:r>
    </w:p>
    <w:p w:rsidR="0026708F" w:rsidRDefault="0026708F" w:rsidP="0026708F">
      <w:pPr>
        <w:spacing w:after="120" w:line="240" w:lineRule="auto"/>
        <w:rPr>
          <w:rFonts w:eastAsia="Times New Roman" w:cs="Times New Roman"/>
          <w:sz w:val="24"/>
          <w:szCs w:val="24"/>
        </w:rPr>
      </w:pPr>
      <w:r w:rsidRPr="00233407">
        <w:rPr>
          <w:rFonts w:eastAsia="Times New Roman" w:cs="Times New Roman"/>
          <w:sz w:val="24"/>
          <w:szCs w:val="24"/>
        </w:rPr>
        <w:t>The discussion questions</w:t>
      </w:r>
      <w:r>
        <w:rPr>
          <w:rFonts w:eastAsia="Times New Roman" w:cs="Times New Roman"/>
          <w:sz w:val="24"/>
          <w:szCs w:val="24"/>
        </w:rPr>
        <w:t xml:space="preserve"> provided here are suggestions</w:t>
      </w:r>
      <w:r w:rsidRPr="00233407">
        <w:rPr>
          <w:rFonts w:eastAsia="Times New Roman" w:cs="Times New Roman"/>
          <w:sz w:val="24"/>
          <w:szCs w:val="24"/>
        </w:rPr>
        <w:t>.</w:t>
      </w:r>
      <w:r w:rsidR="00890E86">
        <w:rPr>
          <w:rFonts w:eastAsia="Times New Roman" w:cs="Times New Roman"/>
          <w:sz w:val="24"/>
          <w:szCs w:val="24"/>
        </w:rPr>
        <w:t xml:space="preserve"> </w:t>
      </w:r>
      <w:r w:rsidRPr="00233407">
        <w:rPr>
          <w:rFonts w:eastAsia="Times New Roman" w:cs="Times New Roman"/>
          <w:sz w:val="24"/>
          <w:szCs w:val="24"/>
        </w:rPr>
        <w:t>Groups should not feel required to work in order or to address all of them.</w:t>
      </w:r>
      <w:r w:rsidR="00890E86">
        <w:rPr>
          <w:rFonts w:eastAsia="Times New Roman" w:cs="Times New Roman"/>
          <w:sz w:val="24"/>
          <w:szCs w:val="24"/>
        </w:rPr>
        <w:t xml:space="preserve"> </w:t>
      </w:r>
      <w:r w:rsidRPr="00233407">
        <w:rPr>
          <w:rFonts w:eastAsia="Times New Roman" w:cs="Times New Roman"/>
          <w:sz w:val="24"/>
          <w:szCs w:val="24"/>
        </w:rPr>
        <w:t>Instead, these questions are meant to solicit observations that can lead to connections.</w:t>
      </w:r>
      <w:r w:rsidR="00890E86">
        <w:rPr>
          <w:rFonts w:eastAsia="Times New Roman" w:cs="Times New Roman"/>
          <w:sz w:val="24"/>
          <w:szCs w:val="24"/>
        </w:rPr>
        <w:t xml:space="preserve"> </w:t>
      </w:r>
      <w:r w:rsidRPr="00233407">
        <w:rPr>
          <w:rFonts w:eastAsia="Times New Roman" w:cs="Times New Roman"/>
          <w:sz w:val="24"/>
          <w:szCs w:val="24"/>
        </w:rPr>
        <w:t>Those connections can be to personal experience; participants should feel free to share if their experiences can help the group get some insight into the topic at hand, since after all that’s the point of the exercise.</w:t>
      </w:r>
      <w:r w:rsidR="00890E86">
        <w:rPr>
          <w:rFonts w:eastAsia="Times New Roman" w:cs="Times New Roman"/>
          <w:sz w:val="24"/>
          <w:szCs w:val="24"/>
        </w:rPr>
        <w:t xml:space="preserve"> </w:t>
      </w:r>
      <w:r w:rsidRPr="00233407">
        <w:rPr>
          <w:rFonts w:eastAsia="Times New Roman" w:cs="Times New Roman"/>
          <w:sz w:val="24"/>
          <w:szCs w:val="24"/>
        </w:rPr>
        <w:t>Don’t feel compelled to jump to the “point” or “lesson” of the text right away.</w:t>
      </w:r>
      <w:r w:rsidR="00890E86">
        <w:rPr>
          <w:rFonts w:eastAsia="Times New Roman" w:cs="Times New Roman"/>
          <w:sz w:val="24"/>
          <w:szCs w:val="24"/>
        </w:rPr>
        <w:t xml:space="preserve"> </w:t>
      </w:r>
      <w:r w:rsidRPr="00233407">
        <w:rPr>
          <w:rFonts w:eastAsia="Times New Roman" w:cs="Times New Roman"/>
          <w:sz w:val="24"/>
          <w:szCs w:val="24"/>
        </w:rPr>
        <w:t>Philosophically speaking, the text doesn’t contain the “lesson”; if anything, the discussion does.</w:t>
      </w:r>
      <w:r w:rsidR="00890E86">
        <w:rPr>
          <w:rFonts w:eastAsia="Times New Roman" w:cs="Times New Roman"/>
          <w:sz w:val="24"/>
          <w:szCs w:val="24"/>
        </w:rPr>
        <w:t xml:space="preserve"> </w:t>
      </w:r>
      <w:r w:rsidRPr="00233407">
        <w:rPr>
          <w:rFonts w:eastAsia="Times New Roman" w:cs="Times New Roman"/>
          <w:sz w:val="24"/>
          <w:szCs w:val="24"/>
        </w:rPr>
        <w:t>Give that discussion time to develop, and make sure participants respond to or build on each other’s points rather than jumping around.</w:t>
      </w:r>
      <w:r w:rsidR="00890E86">
        <w:rPr>
          <w:rFonts w:eastAsia="Times New Roman" w:cs="Times New Roman"/>
          <w:sz w:val="24"/>
          <w:szCs w:val="24"/>
        </w:rPr>
        <w:t xml:space="preserve"> </w:t>
      </w:r>
      <w:r w:rsidRPr="00233407">
        <w:rPr>
          <w:rFonts w:eastAsia="Times New Roman" w:cs="Times New Roman"/>
          <w:sz w:val="24"/>
          <w:szCs w:val="24"/>
        </w:rPr>
        <w:t>If you’re having trouble getting the ball rolling or finding something insightful to say, try focusing on a particularly complex passage and figuring out what makes it hard to follow or makes sense of.</w:t>
      </w:r>
      <w:r w:rsidR="00890E86">
        <w:rPr>
          <w:rFonts w:eastAsia="Times New Roman" w:cs="Times New Roman"/>
          <w:sz w:val="24"/>
          <w:szCs w:val="24"/>
        </w:rPr>
        <w:t xml:space="preserve"> </w:t>
      </w:r>
      <w:r w:rsidRPr="00233407">
        <w:rPr>
          <w:rFonts w:eastAsia="Times New Roman" w:cs="Times New Roman"/>
          <w:sz w:val="24"/>
          <w:szCs w:val="24"/>
        </w:rPr>
        <w:t>Don’t be afraid of asking questions you don’t know the answer to; articulating a question can be just as valuable to a discussion as providing an answer.</w:t>
      </w:r>
    </w:p>
    <w:p w:rsidR="00D82299" w:rsidRDefault="00D82299" w:rsidP="0026708F">
      <w:pPr>
        <w:spacing w:after="120" w:line="240" w:lineRule="auto"/>
        <w:rPr>
          <w:rFonts w:eastAsia="Times New Roman" w:cs="Times New Roman"/>
          <w:sz w:val="24"/>
          <w:szCs w:val="24"/>
        </w:rPr>
      </w:pPr>
    </w:p>
    <w:p w:rsidR="00D82299" w:rsidRPr="00D82299" w:rsidRDefault="00D82299" w:rsidP="00676A58">
      <w:pPr>
        <w:spacing w:after="120" w:line="240" w:lineRule="auto"/>
        <w:rPr>
          <w:rFonts w:eastAsia="Times New Roman" w:cs="Times New Roman"/>
          <w:b/>
          <w:sz w:val="32"/>
          <w:szCs w:val="32"/>
        </w:rPr>
      </w:pPr>
      <w:r w:rsidRPr="00D82299">
        <w:rPr>
          <w:rFonts w:eastAsia="Times New Roman" w:cs="Times New Roman"/>
          <w:b/>
          <w:sz w:val="32"/>
          <w:szCs w:val="32"/>
        </w:rPr>
        <w:t>About the author</w:t>
      </w:r>
    </w:p>
    <w:p w:rsidR="002A0040" w:rsidRDefault="00261956" w:rsidP="00AB4E2F">
      <w:pPr>
        <w:rPr>
          <w:sz w:val="24"/>
          <w:szCs w:val="24"/>
        </w:rPr>
      </w:pPr>
      <w:r>
        <w:rPr>
          <w:rFonts w:ascii="Arial" w:hAnsi="Arial" w:cs="Arial"/>
          <w:color w:val="222222"/>
          <w:sz w:val="21"/>
          <w:szCs w:val="21"/>
          <w:shd w:val="clear" w:color="auto" w:fill="FFFFFF"/>
        </w:rPr>
        <w:t>(</w:t>
      </w:r>
      <w:proofErr w:type="gramStart"/>
      <w:r>
        <w:rPr>
          <w:rFonts w:ascii="Arial" w:hAnsi="Arial" w:cs="Arial"/>
          <w:color w:val="222222"/>
          <w:sz w:val="21"/>
          <w:szCs w:val="21"/>
          <w:shd w:val="clear" w:color="auto" w:fill="FFFFFF"/>
        </w:rPr>
        <w:t>born</w:t>
      </w:r>
      <w:proofErr w:type="gramEnd"/>
      <w:r>
        <w:rPr>
          <w:rFonts w:ascii="Arial" w:hAnsi="Arial" w:cs="Arial"/>
          <w:color w:val="222222"/>
          <w:sz w:val="21"/>
          <w:szCs w:val="21"/>
          <w:shd w:val="clear" w:color="auto" w:fill="FFFFFF"/>
        </w:rPr>
        <w:t xml:space="preserve"> June 16, 1938) is an American writer. Oates published her first book in 1963 and has since published 58 novels, as well as a number of plays and novellas, and many volumes of short stories, poetry, and nonfiction. She has won many awards for her writing, including the</w:t>
      </w:r>
      <w:r>
        <w:rPr>
          <w:rFonts w:ascii="Arial" w:hAnsi="Arial" w:cs="Arial"/>
          <w:color w:val="222222"/>
          <w:sz w:val="21"/>
          <w:szCs w:val="21"/>
          <w:shd w:val="clear" w:color="auto" w:fill="FFFFFF"/>
        </w:rPr>
        <w:t xml:space="preserve"> National Book Award</w:t>
      </w:r>
      <w:r>
        <w:rPr>
          <w:rFonts w:ascii="Arial" w:hAnsi="Arial" w:cs="Arial"/>
          <w:color w:val="222222"/>
          <w:sz w:val="21"/>
          <w:szCs w:val="21"/>
          <w:shd w:val="clear" w:color="auto" w:fill="FFFFFF"/>
        </w:rPr>
        <w:t> for her novel</w:t>
      </w:r>
      <w:r>
        <w:rPr>
          <w:rFonts w:ascii="Arial" w:hAnsi="Arial" w:cs="Arial"/>
          <w:color w:val="222222"/>
          <w:sz w:val="21"/>
          <w:szCs w:val="21"/>
          <w:shd w:val="clear" w:color="auto" w:fill="FFFFFF"/>
        </w:rPr>
        <w:t xml:space="preserve"> </w:t>
      </w:r>
      <w:r w:rsidR="00AB4E2F">
        <w:rPr>
          <w:rFonts w:ascii="Arial" w:hAnsi="Arial" w:cs="Arial"/>
          <w:i/>
          <w:iCs/>
          <w:color w:val="222222"/>
          <w:sz w:val="21"/>
          <w:szCs w:val="21"/>
          <w:shd w:val="clear" w:color="auto" w:fill="FFFFFF"/>
        </w:rPr>
        <w:t>t</w:t>
      </w:r>
      <w:r>
        <w:rPr>
          <w:rFonts w:ascii="Arial" w:hAnsi="Arial" w:cs="Arial"/>
          <w:i/>
          <w:iCs/>
          <w:color w:val="222222"/>
          <w:sz w:val="21"/>
          <w:szCs w:val="21"/>
          <w:shd w:val="clear" w:color="auto" w:fill="FFFFFF"/>
        </w:rPr>
        <w:t>hem</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(1969), two </w:t>
      </w:r>
      <w:r>
        <w:rPr>
          <w:rFonts w:ascii="Arial" w:hAnsi="Arial" w:cs="Arial"/>
          <w:color w:val="222222"/>
          <w:sz w:val="21"/>
          <w:szCs w:val="21"/>
          <w:shd w:val="clear" w:color="auto" w:fill="FFFFFF"/>
        </w:rPr>
        <w:t>O. Henry Awards,</w:t>
      </w:r>
      <w:r>
        <w:rPr>
          <w:rFonts w:ascii="Arial" w:hAnsi="Arial" w:cs="Arial"/>
          <w:color w:val="222222"/>
          <w:sz w:val="21"/>
          <w:szCs w:val="21"/>
          <w:shd w:val="clear" w:color="auto" w:fill="FFFFFF"/>
        </w:rPr>
        <w:t xml:space="preserve"> the </w:t>
      </w:r>
      <w:r>
        <w:rPr>
          <w:rFonts w:ascii="Arial" w:hAnsi="Arial" w:cs="Arial"/>
          <w:color w:val="222222"/>
          <w:sz w:val="21"/>
          <w:szCs w:val="21"/>
          <w:shd w:val="clear" w:color="auto" w:fill="FFFFFF"/>
        </w:rPr>
        <w:t>National Humanities Medal,</w:t>
      </w:r>
      <w:r>
        <w:rPr>
          <w:rFonts w:ascii="Arial" w:hAnsi="Arial" w:cs="Arial"/>
          <w:color w:val="222222"/>
          <w:sz w:val="21"/>
          <w:szCs w:val="21"/>
          <w:shd w:val="clear" w:color="auto" w:fill="FFFFFF"/>
        </w:rPr>
        <w:t> and the </w:t>
      </w:r>
      <w:r>
        <w:rPr>
          <w:rFonts w:ascii="Arial" w:hAnsi="Arial" w:cs="Arial"/>
          <w:color w:val="222222"/>
          <w:sz w:val="21"/>
          <w:szCs w:val="21"/>
          <w:shd w:val="clear" w:color="auto" w:fill="FFFFFF"/>
        </w:rPr>
        <w:t xml:space="preserve">Jerusalem Prize </w:t>
      </w:r>
      <w:r>
        <w:rPr>
          <w:rFonts w:ascii="Arial" w:hAnsi="Arial" w:cs="Arial"/>
          <w:color w:val="222222"/>
          <w:sz w:val="21"/>
          <w:szCs w:val="21"/>
          <w:shd w:val="clear" w:color="auto" w:fill="FFFFFF"/>
        </w:rPr>
        <w:t>(2019). Her novels </w:t>
      </w:r>
      <w:r w:rsidR="00AB4E2F">
        <w:rPr>
          <w:rFonts w:ascii="Arial" w:hAnsi="Arial" w:cs="Arial"/>
          <w:i/>
          <w:iCs/>
          <w:color w:val="222222"/>
          <w:sz w:val="21"/>
          <w:szCs w:val="21"/>
          <w:shd w:val="clear" w:color="auto" w:fill="FFFFFF"/>
        </w:rPr>
        <w:t>Black Water</w:t>
      </w:r>
      <w:r>
        <w:rPr>
          <w:rFonts w:ascii="Arial" w:hAnsi="Arial" w:cs="Arial"/>
          <w:color w:val="222222"/>
          <w:sz w:val="21"/>
          <w:szCs w:val="21"/>
          <w:shd w:val="clear" w:color="auto" w:fill="FFFFFF"/>
        </w:rPr>
        <w:t> (1992), </w:t>
      </w:r>
      <w:r>
        <w:rPr>
          <w:rFonts w:ascii="Arial" w:hAnsi="Arial" w:cs="Arial"/>
          <w:i/>
          <w:iCs/>
          <w:color w:val="222222"/>
          <w:sz w:val="21"/>
          <w:szCs w:val="21"/>
          <w:shd w:val="clear" w:color="auto" w:fill="FFFFFF"/>
        </w:rPr>
        <w:t>What I Lived For</w:t>
      </w:r>
      <w:r>
        <w:rPr>
          <w:rFonts w:ascii="Arial" w:hAnsi="Arial" w:cs="Arial"/>
          <w:color w:val="222222"/>
          <w:sz w:val="21"/>
          <w:szCs w:val="21"/>
          <w:shd w:val="clear" w:color="auto" w:fill="FFFFFF"/>
        </w:rPr>
        <w:t> (1994), and </w:t>
      </w:r>
      <w:r w:rsidR="00AB4E2F">
        <w:rPr>
          <w:rFonts w:ascii="Arial" w:hAnsi="Arial" w:cs="Arial"/>
          <w:i/>
          <w:iCs/>
          <w:color w:val="222222"/>
          <w:sz w:val="21"/>
          <w:szCs w:val="21"/>
          <w:shd w:val="clear" w:color="auto" w:fill="FFFFFF"/>
        </w:rPr>
        <w:t>Blonde</w:t>
      </w:r>
      <w:r>
        <w:rPr>
          <w:rFonts w:ascii="Arial" w:hAnsi="Arial" w:cs="Arial"/>
          <w:color w:val="222222"/>
          <w:sz w:val="21"/>
          <w:szCs w:val="21"/>
          <w:shd w:val="clear" w:color="auto" w:fill="FFFFFF"/>
        </w:rPr>
        <w:t> (2000) and short story collections </w:t>
      </w:r>
      <w:r w:rsidR="00AB4E2F">
        <w:rPr>
          <w:rFonts w:ascii="Arial" w:hAnsi="Arial" w:cs="Arial"/>
          <w:i/>
          <w:iCs/>
          <w:color w:val="222222"/>
          <w:sz w:val="21"/>
          <w:szCs w:val="21"/>
          <w:shd w:val="clear" w:color="auto" w:fill="FFFFFF"/>
        </w:rPr>
        <w:t>The Wheel of Love and Other Stories</w:t>
      </w:r>
      <w:r>
        <w:rPr>
          <w:rFonts w:ascii="Arial" w:hAnsi="Arial" w:cs="Arial"/>
          <w:color w:val="222222"/>
          <w:sz w:val="21"/>
          <w:szCs w:val="21"/>
          <w:shd w:val="clear" w:color="auto" w:fill="FFFFFF"/>
        </w:rPr>
        <w:t> (1970) and </w:t>
      </w:r>
      <w:r>
        <w:rPr>
          <w:rFonts w:ascii="Arial" w:hAnsi="Arial" w:cs="Arial"/>
          <w:i/>
          <w:iCs/>
          <w:color w:val="222222"/>
          <w:sz w:val="21"/>
          <w:szCs w:val="21"/>
          <w:shd w:val="clear" w:color="auto" w:fill="FFFFFF"/>
        </w:rPr>
        <w:t>Lovely, Dark, Deep: Stories</w:t>
      </w:r>
      <w:r>
        <w:rPr>
          <w:rFonts w:ascii="Arial" w:hAnsi="Arial" w:cs="Arial"/>
          <w:color w:val="222222"/>
          <w:sz w:val="21"/>
          <w:szCs w:val="21"/>
          <w:shd w:val="clear" w:color="auto" w:fill="FFFFFF"/>
        </w:rPr>
        <w:t> (2014) were each finalists for the </w:t>
      </w:r>
      <w:r w:rsidR="00AB4E2F">
        <w:rPr>
          <w:rFonts w:ascii="Arial" w:hAnsi="Arial" w:cs="Arial"/>
          <w:color w:val="222222"/>
          <w:sz w:val="21"/>
          <w:szCs w:val="21"/>
          <w:shd w:val="clear" w:color="auto" w:fill="FFFFFF"/>
        </w:rPr>
        <w:t>Pulitzer Prize</w:t>
      </w:r>
      <w:r w:rsidR="00676A58">
        <w:rPr>
          <w:sz w:val="24"/>
          <w:szCs w:val="24"/>
        </w:rPr>
        <w:t>. [Wikipedia]</w:t>
      </w:r>
    </w:p>
    <w:p w:rsidR="00676A58" w:rsidRPr="00D4299F" w:rsidRDefault="00AB4E2F" w:rsidP="00D4299F">
      <w:pPr>
        <w:rPr>
          <w:b/>
          <w:sz w:val="32"/>
          <w:szCs w:val="32"/>
        </w:rPr>
      </w:pPr>
      <w:r>
        <w:rPr>
          <w:b/>
          <w:sz w:val="32"/>
          <w:szCs w:val="32"/>
        </w:rPr>
        <w:t>Work</w:t>
      </w:r>
      <w:r w:rsidR="00676A58">
        <w:rPr>
          <w:b/>
          <w:sz w:val="32"/>
          <w:szCs w:val="32"/>
        </w:rPr>
        <w:t>s</w:t>
      </w:r>
      <w:r w:rsidR="00D82299" w:rsidRPr="00D82299">
        <w:rPr>
          <w:b/>
          <w:sz w:val="32"/>
          <w:szCs w:val="32"/>
        </w:rPr>
        <w:t xml:space="preserve"> </w:t>
      </w:r>
      <w:r w:rsidR="00D82299">
        <w:rPr>
          <w:b/>
          <w:sz w:val="32"/>
          <w:szCs w:val="32"/>
        </w:rPr>
        <w:t>by</w:t>
      </w:r>
      <w:r w:rsidR="00D82299" w:rsidRPr="00D82299">
        <w:rPr>
          <w:b/>
          <w:sz w:val="32"/>
          <w:szCs w:val="32"/>
        </w:rPr>
        <w:t xml:space="preserve"> the same author</w:t>
      </w:r>
      <w:r w:rsidR="009913FA">
        <w:rPr>
          <w:b/>
          <w:sz w:val="32"/>
          <w:szCs w:val="32"/>
        </w:rPr>
        <w:t xml:space="preserve"> </w:t>
      </w:r>
    </w:p>
    <w:p w:rsidR="00205DEE" w:rsidRDefault="00AB4E2F" w:rsidP="006B7857">
      <w:pPr>
        <w:spacing w:after="0" w:line="240" w:lineRule="auto"/>
        <w:rPr>
          <w:sz w:val="24"/>
          <w:szCs w:val="24"/>
        </w:rPr>
      </w:pPr>
      <w:proofErr w:type="gramStart"/>
      <w:r>
        <w:rPr>
          <w:i/>
          <w:iCs/>
          <w:sz w:val="24"/>
          <w:szCs w:val="24"/>
        </w:rPr>
        <w:t>them</w:t>
      </w:r>
      <w:proofErr w:type="gramEnd"/>
      <w:r>
        <w:rPr>
          <w:sz w:val="24"/>
          <w:szCs w:val="24"/>
        </w:rPr>
        <w:t xml:space="preserve"> (1969)</w:t>
      </w:r>
    </w:p>
    <w:p w:rsidR="00AB4E2F" w:rsidRDefault="00AB4E2F" w:rsidP="006B7857">
      <w:pPr>
        <w:spacing w:after="0" w:line="240" w:lineRule="auto"/>
        <w:rPr>
          <w:sz w:val="24"/>
          <w:szCs w:val="24"/>
        </w:rPr>
      </w:pPr>
      <w:r>
        <w:rPr>
          <w:i/>
          <w:iCs/>
          <w:sz w:val="24"/>
          <w:szCs w:val="24"/>
        </w:rPr>
        <w:t>The Wheel of Love and Other Stories</w:t>
      </w:r>
      <w:r>
        <w:rPr>
          <w:sz w:val="24"/>
          <w:szCs w:val="24"/>
        </w:rPr>
        <w:t xml:space="preserve"> (1970)</w:t>
      </w:r>
    </w:p>
    <w:p w:rsidR="00AB4E2F" w:rsidRDefault="00AB4E2F" w:rsidP="006B7857">
      <w:pPr>
        <w:spacing w:after="0" w:line="240" w:lineRule="auto"/>
        <w:rPr>
          <w:sz w:val="24"/>
          <w:szCs w:val="24"/>
        </w:rPr>
      </w:pPr>
      <w:r>
        <w:rPr>
          <w:i/>
          <w:iCs/>
          <w:sz w:val="24"/>
          <w:szCs w:val="24"/>
        </w:rPr>
        <w:t>Marriages and Infidelities</w:t>
      </w:r>
      <w:r>
        <w:rPr>
          <w:sz w:val="24"/>
          <w:szCs w:val="24"/>
        </w:rPr>
        <w:t xml:space="preserve"> (1972)</w:t>
      </w:r>
    </w:p>
    <w:p w:rsidR="00AB4E2F" w:rsidRPr="00AB4E2F" w:rsidRDefault="00AB4E2F" w:rsidP="006B7857">
      <w:pPr>
        <w:spacing w:after="0" w:line="240" w:lineRule="auto"/>
        <w:rPr>
          <w:sz w:val="24"/>
          <w:szCs w:val="24"/>
        </w:rPr>
      </w:pPr>
      <w:r>
        <w:rPr>
          <w:i/>
          <w:iCs/>
          <w:sz w:val="24"/>
          <w:szCs w:val="24"/>
        </w:rPr>
        <w:t>Where are You Going, Where Have You Been?</w:t>
      </w:r>
      <w:r>
        <w:rPr>
          <w:sz w:val="24"/>
          <w:szCs w:val="24"/>
        </w:rPr>
        <w:t xml:space="preserve"> (1974)</w:t>
      </w:r>
    </w:p>
    <w:p w:rsidR="00AB4E2F" w:rsidRDefault="00AB4E2F" w:rsidP="006B7857">
      <w:pPr>
        <w:spacing w:after="0" w:line="240" w:lineRule="auto"/>
        <w:rPr>
          <w:sz w:val="24"/>
          <w:szCs w:val="24"/>
        </w:rPr>
      </w:pPr>
      <w:r>
        <w:rPr>
          <w:i/>
          <w:iCs/>
          <w:sz w:val="24"/>
          <w:szCs w:val="24"/>
        </w:rPr>
        <w:t>You Must Remember This</w:t>
      </w:r>
      <w:r>
        <w:rPr>
          <w:sz w:val="24"/>
          <w:szCs w:val="24"/>
        </w:rPr>
        <w:t xml:space="preserve"> (1987)</w:t>
      </w:r>
    </w:p>
    <w:p w:rsidR="00AB4E2F" w:rsidRPr="00AB4E2F" w:rsidRDefault="00AB4E2F" w:rsidP="006B7857">
      <w:pPr>
        <w:spacing w:after="0" w:line="240" w:lineRule="auto"/>
        <w:rPr>
          <w:sz w:val="24"/>
          <w:szCs w:val="24"/>
        </w:rPr>
      </w:pPr>
      <w:r>
        <w:rPr>
          <w:i/>
          <w:iCs/>
          <w:sz w:val="24"/>
          <w:szCs w:val="24"/>
        </w:rPr>
        <w:t>American Appetites</w:t>
      </w:r>
      <w:r>
        <w:rPr>
          <w:sz w:val="24"/>
          <w:szCs w:val="24"/>
        </w:rPr>
        <w:t xml:space="preserve"> (1989)</w:t>
      </w:r>
    </w:p>
    <w:p w:rsidR="00AB4E2F" w:rsidRDefault="00AB4E2F" w:rsidP="006B7857">
      <w:pPr>
        <w:spacing w:after="0" w:line="240" w:lineRule="auto"/>
        <w:rPr>
          <w:sz w:val="24"/>
          <w:szCs w:val="24"/>
        </w:rPr>
      </w:pPr>
      <w:r>
        <w:rPr>
          <w:i/>
          <w:iCs/>
          <w:sz w:val="24"/>
          <w:szCs w:val="24"/>
        </w:rPr>
        <w:t xml:space="preserve">Black </w:t>
      </w:r>
      <w:r w:rsidRPr="00AB4E2F">
        <w:rPr>
          <w:i/>
          <w:iCs/>
          <w:sz w:val="24"/>
          <w:szCs w:val="24"/>
        </w:rPr>
        <w:t>Water</w:t>
      </w:r>
      <w:r>
        <w:rPr>
          <w:sz w:val="24"/>
          <w:szCs w:val="24"/>
        </w:rPr>
        <w:t xml:space="preserve"> (1992)</w:t>
      </w:r>
    </w:p>
    <w:p w:rsidR="00AB4E2F" w:rsidRDefault="00AB4E2F" w:rsidP="006B7857">
      <w:pPr>
        <w:spacing w:after="0" w:line="240" w:lineRule="auto"/>
        <w:rPr>
          <w:sz w:val="24"/>
          <w:szCs w:val="24"/>
        </w:rPr>
      </w:pPr>
      <w:r>
        <w:rPr>
          <w:i/>
          <w:iCs/>
          <w:sz w:val="24"/>
          <w:szCs w:val="24"/>
        </w:rPr>
        <w:t xml:space="preserve">What I Lived </w:t>
      </w:r>
      <w:r w:rsidRPr="00AB4E2F">
        <w:rPr>
          <w:i/>
          <w:iCs/>
          <w:sz w:val="24"/>
          <w:szCs w:val="24"/>
        </w:rPr>
        <w:t>For</w:t>
      </w:r>
      <w:r>
        <w:rPr>
          <w:sz w:val="24"/>
          <w:szCs w:val="24"/>
        </w:rPr>
        <w:t xml:space="preserve"> (1994)</w:t>
      </w:r>
    </w:p>
    <w:p w:rsidR="00AB4E2F" w:rsidRDefault="00AB4E2F" w:rsidP="006B7857">
      <w:pPr>
        <w:spacing w:after="0" w:line="240" w:lineRule="auto"/>
        <w:rPr>
          <w:sz w:val="24"/>
          <w:szCs w:val="24"/>
        </w:rPr>
      </w:pPr>
      <w:r w:rsidRPr="00AB4E2F">
        <w:rPr>
          <w:i/>
          <w:iCs/>
          <w:sz w:val="24"/>
          <w:szCs w:val="24"/>
        </w:rPr>
        <w:t>Zombie</w:t>
      </w:r>
      <w:r>
        <w:rPr>
          <w:sz w:val="24"/>
          <w:szCs w:val="24"/>
        </w:rPr>
        <w:t xml:space="preserve"> (1996)</w:t>
      </w:r>
    </w:p>
    <w:p w:rsidR="00AB4E2F" w:rsidRPr="00AB4E2F" w:rsidRDefault="00AB4E2F" w:rsidP="006B7857">
      <w:pPr>
        <w:spacing w:after="0" w:line="240" w:lineRule="auto"/>
        <w:rPr>
          <w:sz w:val="24"/>
          <w:szCs w:val="24"/>
        </w:rPr>
      </w:pPr>
      <w:r>
        <w:rPr>
          <w:i/>
          <w:iCs/>
          <w:sz w:val="24"/>
          <w:szCs w:val="24"/>
        </w:rPr>
        <w:t xml:space="preserve">We Were the </w:t>
      </w:r>
      <w:proofErr w:type="spellStart"/>
      <w:r>
        <w:rPr>
          <w:i/>
          <w:iCs/>
          <w:sz w:val="24"/>
          <w:szCs w:val="24"/>
        </w:rPr>
        <w:t>Mulvaneys</w:t>
      </w:r>
      <w:proofErr w:type="spellEnd"/>
      <w:r>
        <w:rPr>
          <w:sz w:val="24"/>
          <w:szCs w:val="24"/>
        </w:rPr>
        <w:t xml:space="preserve"> (1996)</w:t>
      </w:r>
    </w:p>
    <w:p w:rsidR="00AB4E2F" w:rsidRDefault="00AB4E2F" w:rsidP="006B7857">
      <w:pPr>
        <w:spacing w:after="0" w:line="240" w:lineRule="auto"/>
        <w:rPr>
          <w:sz w:val="24"/>
          <w:szCs w:val="24"/>
        </w:rPr>
      </w:pPr>
      <w:r>
        <w:rPr>
          <w:i/>
          <w:iCs/>
          <w:sz w:val="24"/>
          <w:szCs w:val="24"/>
        </w:rPr>
        <w:lastRenderedPageBreak/>
        <w:t>Blonde</w:t>
      </w:r>
      <w:r>
        <w:rPr>
          <w:sz w:val="24"/>
          <w:szCs w:val="24"/>
        </w:rPr>
        <w:t xml:space="preserve"> (2000)</w:t>
      </w:r>
    </w:p>
    <w:p w:rsidR="00AB4E2F" w:rsidRPr="00AB4E2F" w:rsidRDefault="00AB4E2F" w:rsidP="006B7857">
      <w:pPr>
        <w:spacing w:after="0" w:line="240" w:lineRule="auto"/>
        <w:rPr>
          <w:sz w:val="24"/>
          <w:szCs w:val="24"/>
        </w:rPr>
      </w:pPr>
      <w:r>
        <w:rPr>
          <w:i/>
          <w:iCs/>
          <w:sz w:val="24"/>
          <w:szCs w:val="24"/>
        </w:rPr>
        <w:t>The Gravedigger’s Daughter</w:t>
      </w:r>
      <w:r>
        <w:rPr>
          <w:sz w:val="24"/>
          <w:szCs w:val="24"/>
        </w:rPr>
        <w:t xml:space="preserve"> (2007)</w:t>
      </w:r>
    </w:p>
    <w:p w:rsidR="00AB4E2F" w:rsidRDefault="00AB4E2F" w:rsidP="006B7857">
      <w:pPr>
        <w:spacing w:after="0" w:line="240" w:lineRule="auto"/>
        <w:rPr>
          <w:sz w:val="24"/>
          <w:szCs w:val="24"/>
        </w:rPr>
      </w:pPr>
      <w:r>
        <w:rPr>
          <w:i/>
          <w:iCs/>
          <w:sz w:val="24"/>
          <w:szCs w:val="24"/>
        </w:rPr>
        <w:t>The Corn Maiden and Other Nightmares</w:t>
      </w:r>
      <w:r>
        <w:rPr>
          <w:sz w:val="24"/>
          <w:szCs w:val="24"/>
        </w:rPr>
        <w:t xml:space="preserve"> (2012)</w:t>
      </w:r>
    </w:p>
    <w:p w:rsidR="00AB4E2F" w:rsidRPr="00AB4E2F" w:rsidRDefault="00AB4E2F" w:rsidP="006B7857">
      <w:pPr>
        <w:spacing w:after="0" w:line="240" w:lineRule="auto"/>
        <w:rPr>
          <w:sz w:val="24"/>
          <w:szCs w:val="24"/>
        </w:rPr>
      </w:pPr>
      <w:r>
        <w:rPr>
          <w:i/>
          <w:iCs/>
          <w:sz w:val="24"/>
          <w:szCs w:val="24"/>
        </w:rPr>
        <w:t>Black Dahlia and White Rose: Stories</w:t>
      </w:r>
      <w:r>
        <w:rPr>
          <w:sz w:val="24"/>
          <w:szCs w:val="24"/>
        </w:rPr>
        <w:t xml:space="preserve"> (2013)</w:t>
      </w:r>
    </w:p>
    <w:p w:rsidR="00AB4E2F" w:rsidRPr="00AB4E2F" w:rsidRDefault="00AB4E2F" w:rsidP="006B7857">
      <w:pPr>
        <w:spacing w:after="0" w:line="240" w:lineRule="auto"/>
        <w:rPr>
          <w:sz w:val="24"/>
          <w:szCs w:val="24"/>
        </w:rPr>
      </w:pPr>
      <w:r>
        <w:rPr>
          <w:i/>
          <w:iCs/>
          <w:sz w:val="24"/>
          <w:szCs w:val="24"/>
        </w:rPr>
        <w:t>Lovely, Dark, Deep: Stories</w:t>
      </w:r>
      <w:r>
        <w:rPr>
          <w:sz w:val="24"/>
          <w:szCs w:val="24"/>
        </w:rPr>
        <w:t xml:space="preserve"> (2014)</w:t>
      </w:r>
    </w:p>
    <w:p w:rsidR="00AB4E2F" w:rsidRPr="00AB4E2F" w:rsidRDefault="00AB4E2F" w:rsidP="006B7857">
      <w:pPr>
        <w:spacing w:after="0" w:line="240" w:lineRule="auto"/>
        <w:rPr>
          <w:sz w:val="24"/>
          <w:szCs w:val="24"/>
        </w:rPr>
      </w:pPr>
    </w:p>
    <w:sectPr w:rsidR="00AB4E2F" w:rsidRPr="00AB4E2F" w:rsidSect="00D76732">
      <w:headerReference w:type="even" r:id="rId9"/>
      <w:headerReference w:type="default" r:id="rId10"/>
      <w:footerReference w:type="even" r:id="rId11"/>
      <w:footerReference w:type="default" r:id="rId12"/>
      <w:headerReference w:type="first" r:id="rId13"/>
      <w:footerReference w:type="first" r:id="rId14"/>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763" w:rsidRDefault="00784763" w:rsidP="0026708F">
      <w:pPr>
        <w:spacing w:after="0" w:line="240" w:lineRule="auto"/>
      </w:pPr>
      <w:r>
        <w:separator/>
      </w:r>
    </w:p>
  </w:endnote>
  <w:endnote w:type="continuationSeparator" w:id="0">
    <w:p w:rsidR="00784763" w:rsidRDefault="00784763" w:rsidP="00267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E3A" w:rsidRDefault="00D61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E3A" w:rsidRPr="00D76732" w:rsidRDefault="00D61E3A" w:rsidP="00D61E3A">
    <w:pPr>
      <w:jc w:val="center"/>
      <w:rPr>
        <w:b/>
        <w:sz w:val="20"/>
        <w:szCs w:val="20"/>
      </w:rPr>
    </w:pPr>
  </w:p>
  <w:p w:rsidR="00D61E3A" w:rsidRPr="0026708F" w:rsidRDefault="00D61E3A" w:rsidP="00D61E3A">
    <w:pPr>
      <w:jc w:val="center"/>
      <w:rPr>
        <w:sz w:val="28"/>
        <w:szCs w:val="28"/>
      </w:rPr>
    </w:pPr>
    <w:r w:rsidRPr="0026708F">
      <w:rPr>
        <w:rFonts w:eastAsia="Times New Roman" w:cs="Times New Roman"/>
        <w:sz w:val="28"/>
        <w:szCs w:val="28"/>
      </w:rPr>
      <w:t>Nicholas Allred</w:t>
    </w:r>
    <w:r>
      <w:rPr>
        <w:rFonts w:eastAsia="Times New Roman" w:cs="Times New Roman"/>
        <w:sz w:val="28"/>
        <w:szCs w:val="28"/>
      </w:rPr>
      <w:t xml:space="preserve"> (RUL-NB)</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E3A" w:rsidRDefault="00D61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763" w:rsidRDefault="00784763" w:rsidP="0026708F">
      <w:pPr>
        <w:spacing w:after="0" w:line="240" w:lineRule="auto"/>
      </w:pPr>
      <w:r>
        <w:separator/>
      </w:r>
    </w:p>
  </w:footnote>
  <w:footnote w:type="continuationSeparator" w:id="0">
    <w:p w:rsidR="00784763" w:rsidRDefault="00784763" w:rsidP="00267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E3A" w:rsidRDefault="00D61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8F" w:rsidRDefault="00D61E3A" w:rsidP="0026708F">
    <w:pPr>
      <w:jc w:val="center"/>
      <w:rPr>
        <w:b/>
        <w:sz w:val="40"/>
        <w:szCs w:val="40"/>
      </w:rPr>
    </w:pPr>
    <w:r>
      <w:rPr>
        <w:b/>
        <w:sz w:val="40"/>
        <w:szCs w:val="40"/>
      </w:rPr>
      <w:t>BWR</w:t>
    </w:r>
    <w:r w:rsidR="0026708F" w:rsidRPr="0026708F">
      <w:rPr>
        <w:b/>
        <w:sz w:val="40"/>
        <w:szCs w:val="40"/>
      </w:rPr>
      <w:t xml:space="preserve"> Discussion Worksheet</w:t>
    </w:r>
  </w:p>
  <w:p w:rsidR="00D76732" w:rsidRPr="00D76732" w:rsidRDefault="00D76732" w:rsidP="0026708F">
    <w:pPr>
      <w:jc w:val="center"/>
      <w:rPr>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E3A" w:rsidRDefault="00D61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07A43"/>
    <w:multiLevelType w:val="multilevel"/>
    <w:tmpl w:val="488EC1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5940FDD"/>
    <w:multiLevelType w:val="multilevel"/>
    <w:tmpl w:val="8D660534"/>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0"/>
    <w:rsid w:val="00022E7E"/>
    <w:rsid w:val="0007115D"/>
    <w:rsid w:val="000A2B08"/>
    <w:rsid w:val="000E32A4"/>
    <w:rsid w:val="001872C3"/>
    <w:rsid w:val="001F5B3F"/>
    <w:rsid w:val="00205DEE"/>
    <w:rsid w:val="002149A0"/>
    <w:rsid w:val="00233407"/>
    <w:rsid w:val="0024121E"/>
    <w:rsid w:val="00256032"/>
    <w:rsid w:val="00261956"/>
    <w:rsid w:val="0026708F"/>
    <w:rsid w:val="002A0040"/>
    <w:rsid w:val="002A3611"/>
    <w:rsid w:val="002B5D62"/>
    <w:rsid w:val="002E3C49"/>
    <w:rsid w:val="00345A1F"/>
    <w:rsid w:val="003806DA"/>
    <w:rsid w:val="003F0535"/>
    <w:rsid w:val="00475B96"/>
    <w:rsid w:val="004909DB"/>
    <w:rsid w:val="005E0AAE"/>
    <w:rsid w:val="005F02F7"/>
    <w:rsid w:val="00615AE8"/>
    <w:rsid w:val="006577F9"/>
    <w:rsid w:val="006765F7"/>
    <w:rsid w:val="00676A58"/>
    <w:rsid w:val="00676BAA"/>
    <w:rsid w:val="006B7857"/>
    <w:rsid w:val="00702CCE"/>
    <w:rsid w:val="0071139E"/>
    <w:rsid w:val="00784763"/>
    <w:rsid w:val="007946CF"/>
    <w:rsid w:val="007A2E6A"/>
    <w:rsid w:val="007B1759"/>
    <w:rsid w:val="007B63E2"/>
    <w:rsid w:val="007B7556"/>
    <w:rsid w:val="00890E86"/>
    <w:rsid w:val="00896BC9"/>
    <w:rsid w:val="008A6D17"/>
    <w:rsid w:val="008B56A2"/>
    <w:rsid w:val="008F4EAA"/>
    <w:rsid w:val="00914E86"/>
    <w:rsid w:val="00916BDF"/>
    <w:rsid w:val="009665F2"/>
    <w:rsid w:val="0098632E"/>
    <w:rsid w:val="009913FA"/>
    <w:rsid w:val="009B0B5A"/>
    <w:rsid w:val="00A46910"/>
    <w:rsid w:val="00A565D7"/>
    <w:rsid w:val="00A67F6C"/>
    <w:rsid w:val="00AB4E2F"/>
    <w:rsid w:val="00AD2946"/>
    <w:rsid w:val="00B80932"/>
    <w:rsid w:val="00BA7F8A"/>
    <w:rsid w:val="00BC0F3A"/>
    <w:rsid w:val="00BF7534"/>
    <w:rsid w:val="00C43FF8"/>
    <w:rsid w:val="00C63301"/>
    <w:rsid w:val="00CE7171"/>
    <w:rsid w:val="00D24BE3"/>
    <w:rsid w:val="00D4299F"/>
    <w:rsid w:val="00D5213C"/>
    <w:rsid w:val="00D56543"/>
    <w:rsid w:val="00D61E3A"/>
    <w:rsid w:val="00D63C21"/>
    <w:rsid w:val="00D76732"/>
    <w:rsid w:val="00D82299"/>
    <w:rsid w:val="00DF399F"/>
    <w:rsid w:val="00E107BE"/>
    <w:rsid w:val="00E9545F"/>
    <w:rsid w:val="00EB2480"/>
    <w:rsid w:val="00F9026B"/>
    <w:rsid w:val="00FD1C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50C3D"/>
  <w15:docId w15:val="{BEE6AD99-96B7-46AF-A3B7-49CEFFF2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C21"/>
    <w:rPr>
      <w:rFonts w:ascii="Segoe UI" w:hAnsi="Segoe UI" w:cs="Segoe UI"/>
      <w:sz w:val="18"/>
      <w:szCs w:val="18"/>
    </w:rPr>
  </w:style>
  <w:style w:type="table" w:styleId="TableGrid">
    <w:name w:val="Table Grid"/>
    <w:basedOn w:val="TableNormal"/>
    <w:uiPriority w:val="59"/>
    <w:rsid w:val="0026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08F"/>
  </w:style>
  <w:style w:type="paragraph" w:styleId="Footer">
    <w:name w:val="footer"/>
    <w:basedOn w:val="Normal"/>
    <w:link w:val="FooterChar"/>
    <w:uiPriority w:val="99"/>
    <w:unhideWhenUsed/>
    <w:rsid w:val="00267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08F"/>
  </w:style>
  <w:style w:type="character" w:styleId="Hyperlink">
    <w:name w:val="Hyperlink"/>
    <w:basedOn w:val="DefaultParagraphFont"/>
    <w:uiPriority w:val="99"/>
    <w:unhideWhenUsed/>
    <w:rsid w:val="00676A58"/>
    <w:rPr>
      <w:color w:val="0000FF" w:themeColor="hyperlink"/>
      <w:u w:val="single"/>
    </w:rPr>
  </w:style>
  <w:style w:type="paragraph" w:styleId="NormalWeb">
    <w:name w:val="Normal (Web)"/>
    <w:basedOn w:val="Normal"/>
    <w:uiPriority w:val="99"/>
    <w:semiHidden/>
    <w:unhideWhenUsed/>
    <w:rsid w:val="002619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1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40439">
      <w:bodyDiv w:val="1"/>
      <w:marLeft w:val="0"/>
      <w:marRight w:val="0"/>
      <w:marTop w:val="0"/>
      <w:marBottom w:val="0"/>
      <w:divBdr>
        <w:top w:val="none" w:sz="0" w:space="0" w:color="auto"/>
        <w:left w:val="none" w:sz="0" w:space="0" w:color="auto"/>
        <w:bottom w:val="none" w:sz="0" w:space="0" w:color="auto"/>
        <w:right w:val="none" w:sz="0" w:space="0" w:color="auto"/>
      </w:divBdr>
    </w:div>
    <w:div w:id="1203127919">
      <w:bodyDiv w:val="1"/>
      <w:marLeft w:val="0"/>
      <w:marRight w:val="0"/>
      <w:marTop w:val="0"/>
      <w:marBottom w:val="0"/>
      <w:divBdr>
        <w:top w:val="none" w:sz="0" w:space="0" w:color="auto"/>
        <w:left w:val="none" w:sz="0" w:space="0" w:color="auto"/>
        <w:bottom w:val="none" w:sz="0" w:space="0" w:color="auto"/>
        <w:right w:val="none" w:sz="0" w:space="0" w:color="auto"/>
      </w:divBdr>
    </w:div>
    <w:div w:id="1432896800">
      <w:bodyDiv w:val="1"/>
      <w:marLeft w:val="0"/>
      <w:marRight w:val="0"/>
      <w:marTop w:val="0"/>
      <w:marBottom w:val="0"/>
      <w:divBdr>
        <w:top w:val="none" w:sz="0" w:space="0" w:color="auto"/>
        <w:left w:val="none" w:sz="0" w:space="0" w:color="auto"/>
        <w:bottom w:val="none" w:sz="0" w:space="0" w:color="auto"/>
        <w:right w:val="none" w:sz="0" w:space="0" w:color="auto"/>
      </w:divBdr>
    </w:div>
    <w:div w:id="1558124630">
      <w:bodyDiv w:val="1"/>
      <w:marLeft w:val="0"/>
      <w:marRight w:val="0"/>
      <w:marTop w:val="0"/>
      <w:marBottom w:val="0"/>
      <w:divBdr>
        <w:top w:val="none" w:sz="0" w:space="0" w:color="auto"/>
        <w:left w:val="none" w:sz="0" w:space="0" w:color="auto"/>
        <w:bottom w:val="none" w:sz="0" w:space="0" w:color="auto"/>
        <w:right w:val="none" w:sz="0" w:space="0" w:color="auto"/>
      </w:divBdr>
    </w:div>
    <w:div w:id="185665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6A034-50B5-4595-8E8C-23DA64B8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alchref</dc:creator>
  <cp:lastModifiedBy>Windows User</cp:lastModifiedBy>
  <cp:revision>4</cp:revision>
  <cp:lastPrinted>2019-09-18T18:21:00Z</cp:lastPrinted>
  <dcterms:created xsi:type="dcterms:W3CDTF">2019-11-20T22:05:00Z</dcterms:created>
  <dcterms:modified xsi:type="dcterms:W3CDTF">2019-11-20T22:47:00Z</dcterms:modified>
</cp:coreProperties>
</file>