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Postural Orthostatic Tachycardia Syndrome (POTS)</w:t>
      </w:r>
    </w:p>
    <w:p w:rsidR="00000000" w:rsidDel="00000000" w:rsidP="00000000" w:rsidRDefault="00000000" w:rsidRPr="00000000" w14:paraId="00000002">
      <w:pPr>
        <w:spacing w:after="0" w:before="0"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Contact: </w:t>
      </w:r>
      <w:r w:rsidDel="00000000" w:rsidR="00000000" w:rsidRPr="00000000">
        <w:rPr>
          <w:rtl w:val="0"/>
        </w:rPr>
      </w:r>
    </w:p>
    <w:p w:rsidR="00000000" w:rsidDel="00000000" w:rsidP="00000000" w:rsidRDefault="00000000" w:rsidRPr="00000000" w14:paraId="00000003">
      <w:pPr>
        <w:spacing w:after="0" w:before="0"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Emma Veron</w:t>
      </w:r>
    </w:p>
    <w:p w:rsidR="00000000" w:rsidDel="00000000" w:rsidP="00000000" w:rsidRDefault="00000000" w:rsidRPr="00000000" w14:paraId="00000004">
      <w:pPr>
        <w:spacing w:after="0" w:before="0"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ejv67@gsapp.rutgers.edu</w:t>
      </w:r>
    </w:p>
    <w:p w:rsidR="00000000" w:rsidDel="00000000" w:rsidP="00000000" w:rsidRDefault="00000000" w:rsidRPr="00000000" w14:paraId="00000005">
      <w:pPr>
        <w:spacing w:after="0" w:before="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6">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What is POTS?</w:t>
      </w:r>
      <w:r w:rsidDel="00000000" w:rsidR="00000000" w:rsidRPr="00000000">
        <w:rPr>
          <w:rFonts w:ascii="Open Sans" w:cs="Open Sans" w:eastAsia="Open Sans" w:hAnsi="Open Sans"/>
          <w:b w:val="1"/>
          <w:bCs w:val="1"/>
          <w:sz w:val="24"/>
          <w:szCs w:val="24"/>
          <w:vertAlign w:val="superscript"/>
          <w:rtl w:val="0"/>
        </w:rPr>
        <w:t xml:space="preserve">2,4,6</w:t>
      </w:r>
      <w:r w:rsidDel="00000000" w:rsidR="00000000" w:rsidRPr="00000000">
        <w:rPr>
          <w:rtl w:val="0"/>
        </w:rPr>
      </w:r>
    </w:p>
    <w:p w:rsidR="00000000" w:rsidDel="00000000" w:rsidP="00000000" w:rsidRDefault="00000000" w:rsidRPr="00000000" w14:paraId="00000007">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Postural Orthostatic Tachycardia Syndrome (POTS) is a condition that affects how the body handles standing up. POTS is a type of dysautonomia, which means it affects the autonomic nervous system (the system that controls automatic body functions like heart rate and blood pressure). When a person with POTS stands up, their heart beats much faster than normal. This can cause symptoms like dizziness, headaches, tiredness, and trouble thinking clearly. POTS happens because the body system that controls things like heart rate and blood pressure does not adjust the right way when moving from sitting or lying down to standing.</w:t>
      </w:r>
    </w:p>
    <w:p w:rsidR="00000000" w:rsidDel="00000000" w:rsidP="00000000" w:rsidRDefault="00000000" w:rsidRPr="00000000" w14:paraId="00000008">
      <w:pPr>
        <w:spacing w:after="0" w:before="0" w:line="276"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09">
      <w:pPr>
        <w:spacing w:after="0" w:before="0" w:line="276" w:lineRule="auto"/>
        <w:rPr>
          <w:rFonts w:ascii="Open Sans" w:cs="Open Sans" w:eastAsia="Open Sans" w:hAnsi="Open Sans"/>
          <w:b w:val="1"/>
          <w:bCs w:val="1"/>
          <w:sz w:val="24"/>
          <w:szCs w:val="24"/>
          <w:vertAlign w:val="superscript"/>
        </w:rPr>
      </w:pPr>
      <w:r w:rsidDel="00000000" w:rsidR="00000000" w:rsidRPr="00000000">
        <w:rPr>
          <w:rFonts w:ascii="Open Sans" w:cs="Open Sans" w:eastAsia="Open Sans" w:hAnsi="Open Sans"/>
          <w:b w:val="1"/>
          <w:bCs w:val="1"/>
          <w:sz w:val="24"/>
          <w:szCs w:val="24"/>
          <w:rtl w:val="0"/>
        </w:rPr>
        <w:t xml:space="preserve">Symptoms</w:t>
      </w:r>
      <w:r w:rsidDel="00000000" w:rsidR="00000000" w:rsidRPr="00000000">
        <w:rPr>
          <w:rFonts w:ascii="Open Sans" w:cs="Open Sans" w:eastAsia="Open Sans" w:hAnsi="Open Sans"/>
          <w:b w:val="1"/>
          <w:bCs w:val="1"/>
          <w:sz w:val="24"/>
          <w:szCs w:val="24"/>
          <w:vertAlign w:val="superscript"/>
          <w:rtl w:val="0"/>
        </w:rPr>
        <w:t xml:space="preserve">2,4</w:t>
      </w:r>
    </w:p>
    <w:p w:rsidR="00000000" w:rsidDel="00000000" w:rsidP="00000000" w:rsidRDefault="00000000" w:rsidRPr="00000000" w14:paraId="0000000A">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Trouble standing for a long time</w:t>
      </w:r>
    </w:p>
    <w:p w:rsidR="00000000" w:rsidDel="00000000" w:rsidP="00000000" w:rsidRDefault="00000000" w:rsidRPr="00000000" w14:paraId="0000000B">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Fast heart rate</w:t>
      </w:r>
    </w:p>
    <w:p w:rsidR="00000000" w:rsidDel="00000000" w:rsidP="00000000" w:rsidRDefault="00000000" w:rsidRPr="00000000" w14:paraId="0000000C">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Feeling dizzy or lightheaded</w:t>
      </w:r>
    </w:p>
    <w:p w:rsidR="00000000" w:rsidDel="00000000" w:rsidP="00000000" w:rsidRDefault="00000000" w:rsidRPr="00000000" w14:paraId="0000000D">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Headaches</w:t>
      </w:r>
    </w:p>
    <w:p w:rsidR="00000000" w:rsidDel="00000000" w:rsidP="00000000" w:rsidRDefault="00000000" w:rsidRPr="00000000" w14:paraId="0000000E">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Feeling very tired</w:t>
      </w:r>
    </w:p>
    <w:p w:rsidR="00000000" w:rsidDel="00000000" w:rsidP="00000000" w:rsidRDefault="00000000" w:rsidRPr="00000000" w14:paraId="0000000F">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Anxiety</w:t>
      </w:r>
    </w:p>
    <w:p w:rsidR="00000000" w:rsidDel="00000000" w:rsidP="00000000" w:rsidRDefault="00000000" w:rsidRPr="00000000" w14:paraId="00000010">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Fainting (passing out)</w:t>
      </w:r>
    </w:p>
    <w:p w:rsidR="00000000" w:rsidDel="00000000" w:rsidP="00000000" w:rsidRDefault="00000000" w:rsidRPr="00000000" w14:paraId="00000011">
      <w:pPr>
        <w:numPr>
          <w:ilvl w:val="0"/>
          <w:numId w:val="1"/>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Trouble with focus, memory, and thinking clearly (“brain fog”)</w:t>
      </w:r>
    </w:p>
    <w:p w:rsidR="00000000" w:rsidDel="00000000" w:rsidP="00000000" w:rsidRDefault="00000000" w:rsidRPr="00000000" w14:paraId="00000012">
      <w:pPr>
        <w:spacing w:after="0" w:before="0" w:line="276"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13">
      <w:pPr>
        <w:spacing w:after="0" w:before="0" w:line="276" w:lineRule="auto"/>
        <w:rPr>
          <w:rFonts w:ascii="Open Sans" w:cs="Open Sans" w:eastAsia="Open Sans" w:hAnsi="Open Sans"/>
          <w:b w:val="1"/>
          <w:bCs w:val="1"/>
          <w:sz w:val="24"/>
          <w:szCs w:val="24"/>
          <w:vertAlign w:val="superscript"/>
        </w:rPr>
      </w:pPr>
      <w:r w:rsidDel="00000000" w:rsidR="00000000" w:rsidRPr="00000000">
        <w:rPr>
          <w:rFonts w:ascii="Open Sans" w:cs="Open Sans" w:eastAsia="Open Sans" w:hAnsi="Open Sans"/>
          <w:b w:val="1"/>
          <w:bCs w:val="1"/>
          <w:sz w:val="24"/>
          <w:szCs w:val="24"/>
          <w:rtl w:val="0"/>
        </w:rPr>
        <w:t xml:space="preserve">Prevalence &amp; Statistics</w:t>
      </w:r>
      <w:r w:rsidDel="00000000" w:rsidR="00000000" w:rsidRPr="00000000">
        <w:rPr>
          <w:rFonts w:ascii="Open Sans" w:cs="Open Sans" w:eastAsia="Open Sans" w:hAnsi="Open Sans"/>
          <w:b w:val="1"/>
          <w:bCs w:val="1"/>
          <w:sz w:val="24"/>
          <w:szCs w:val="24"/>
          <w:vertAlign w:val="superscript"/>
          <w:rtl w:val="0"/>
        </w:rPr>
        <w:t xml:space="preserve">2,7</w:t>
      </w:r>
    </w:p>
    <w:p w:rsidR="00000000" w:rsidDel="00000000" w:rsidP="00000000" w:rsidRDefault="00000000" w:rsidRPr="00000000" w14:paraId="00000014">
      <w:pPr>
        <w:numPr>
          <w:ilvl w:val="0"/>
          <w:numId w:val="4"/>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It is hard to know exactly how many children have POTS because symptoms can be different for each person</w:t>
      </w:r>
    </w:p>
    <w:p w:rsidR="00000000" w:rsidDel="00000000" w:rsidP="00000000" w:rsidRDefault="00000000" w:rsidRPr="00000000" w14:paraId="00000015">
      <w:pPr>
        <w:numPr>
          <w:ilvl w:val="0"/>
          <w:numId w:val="4"/>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One study found about 6.8% of children may have it</w:t>
      </w:r>
      <w:r w:rsidDel="00000000" w:rsidR="00000000" w:rsidRPr="00000000">
        <w:rPr>
          <w:rtl w:val="0"/>
        </w:rPr>
      </w:r>
    </w:p>
    <w:p w:rsidR="00000000" w:rsidDel="00000000" w:rsidP="00000000" w:rsidRDefault="00000000" w:rsidRPr="00000000" w14:paraId="00000016">
      <w:pPr>
        <w:numPr>
          <w:ilvl w:val="0"/>
          <w:numId w:val="4"/>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Most people are diagnosed around age 15</w:t>
      </w:r>
    </w:p>
    <w:p w:rsidR="00000000" w:rsidDel="00000000" w:rsidP="00000000" w:rsidRDefault="00000000" w:rsidRPr="00000000" w14:paraId="00000017">
      <w:pPr>
        <w:numPr>
          <w:ilvl w:val="0"/>
          <w:numId w:val="4"/>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Symptoms often start around age 13</w:t>
      </w:r>
    </w:p>
    <w:p w:rsidR="00000000" w:rsidDel="00000000" w:rsidP="00000000" w:rsidRDefault="00000000" w:rsidRPr="00000000" w14:paraId="00000018">
      <w:pPr>
        <w:numPr>
          <w:ilvl w:val="0"/>
          <w:numId w:val="4"/>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About 80% of people with POTS are female</w:t>
      </w:r>
    </w:p>
    <w:p w:rsidR="00000000" w:rsidDel="00000000" w:rsidP="00000000" w:rsidRDefault="00000000" w:rsidRPr="00000000" w14:paraId="00000019">
      <w:pPr>
        <w:spacing w:after="0" w:before="0" w:line="276"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1A">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What other conditions can happen with POTS?</w:t>
      </w:r>
      <w:r w:rsidDel="00000000" w:rsidR="00000000" w:rsidRPr="00000000">
        <w:rPr>
          <w:rFonts w:ascii="Open Sans" w:cs="Open Sans" w:eastAsia="Open Sans" w:hAnsi="Open Sans"/>
          <w:b w:val="1"/>
          <w:bCs w:val="1"/>
          <w:sz w:val="24"/>
          <w:szCs w:val="24"/>
          <w:vertAlign w:val="superscript"/>
          <w:rtl w:val="0"/>
        </w:rPr>
        <w:t xml:space="preserve">3</w:t>
      </w:r>
      <w:r w:rsidDel="00000000" w:rsidR="00000000" w:rsidRPr="00000000">
        <w:rPr>
          <w:rFonts w:ascii="Open Sans" w:cs="Open Sans" w:eastAsia="Open Sans" w:hAnsi="Open Sans"/>
          <w:b w:val="1"/>
          <w:bCs w:val="1"/>
          <w:sz w:val="24"/>
          <w:szCs w:val="24"/>
          <w:rtl w:val="0"/>
        </w:rPr>
        <w:t xml:space="preserve"> </w:t>
      </w:r>
    </w:p>
    <w:p w:rsidR="00000000" w:rsidDel="00000000" w:rsidP="00000000" w:rsidRDefault="00000000" w:rsidRPr="00000000" w14:paraId="0000001B">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Anxiety and Depression</w:t>
      </w:r>
    </w:p>
    <w:p w:rsidR="00000000" w:rsidDel="00000000" w:rsidP="00000000" w:rsidRDefault="00000000" w:rsidRPr="00000000" w14:paraId="0000001C">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Chronic fatigue (long-term tiredness)</w:t>
      </w:r>
    </w:p>
    <w:p w:rsidR="00000000" w:rsidDel="00000000" w:rsidP="00000000" w:rsidRDefault="00000000" w:rsidRPr="00000000" w14:paraId="0000001D">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Irritable Bowel Syndrome (IBS)</w:t>
      </w:r>
    </w:p>
    <w:p w:rsidR="00000000" w:rsidDel="00000000" w:rsidP="00000000" w:rsidRDefault="00000000" w:rsidRPr="00000000" w14:paraId="0000001E">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Migraines (bad headaches)</w:t>
      </w:r>
    </w:p>
    <w:p w:rsidR="00000000" w:rsidDel="00000000" w:rsidP="00000000" w:rsidRDefault="00000000" w:rsidRPr="00000000" w14:paraId="0000001F">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Fibromyalgia (body pain)</w:t>
      </w:r>
    </w:p>
    <w:p w:rsidR="00000000" w:rsidDel="00000000" w:rsidP="00000000" w:rsidRDefault="00000000" w:rsidRPr="00000000" w14:paraId="00000020">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Hypermobile Ehlers-Danlos Syndrome (very flexible joints)</w:t>
      </w:r>
    </w:p>
    <w:p w:rsidR="00000000" w:rsidDel="00000000" w:rsidP="00000000" w:rsidRDefault="00000000" w:rsidRPr="00000000" w14:paraId="00000021">
      <w:pPr>
        <w:numPr>
          <w:ilvl w:val="0"/>
          <w:numId w:val="2"/>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Mast Cell Activation Syndrome</w:t>
      </w:r>
    </w:p>
    <w:p w:rsidR="00000000" w:rsidDel="00000000" w:rsidP="00000000" w:rsidRDefault="00000000" w:rsidRPr="00000000" w14:paraId="00000022">
      <w:pPr>
        <w:spacing w:after="0" w:before="0" w:line="276"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23">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Treatment</w:t>
      </w:r>
      <w:r w:rsidDel="00000000" w:rsidR="00000000" w:rsidRPr="00000000">
        <w:rPr>
          <w:rFonts w:ascii="Open Sans" w:cs="Open Sans" w:eastAsia="Open Sans" w:hAnsi="Open Sans"/>
          <w:b w:val="1"/>
          <w:bCs w:val="1"/>
          <w:sz w:val="24"/>
          <w:szCs w:val="24"/>
          <w:vertAlign w:val="superscript"/>
          <w:rtl w:val="0"/>
        </w:rPr>
        <w:t xml:space="preserve">4,6</w:t>
      </w:r>
      <w:r w:rsidDel="00000000" w:rsidR="00000000" w:rsidRPr="00000000">
        <w:rPr>
          <w:rtl w:val="0"/>
        </w:rPr>
      </w:r>
    </w:p>
    <w:p w:rsidR="00000000" w:rsidDel="00000000" w:rsidP="00000000" w:rsidRDefault="00000000" w:rsidRPr="00000000" w14:paraId="00000024">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is no single cure, but symptoms can be managed. Common treatments include: Drinking more water, eating more salt (if a doctor says it is okay), exercise that slowly increases over time, wearing compression clothing, medicines (such as beta blockers or other drugs).</w:t>
      </w:r>
    </w:p>
    <w:p w:rsidR="00000000" w:rsidDel="00000000" w:rsidP="00000000" w:rsidRDefault="00000000" w:rsidRPr="00000000" w14:paraId="00000025">
      <w:pPr>
        <w:spacing w:after="0" w:before="0" w:line="276"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26">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Myth #1</w:t>
      </w:r>
    </w:p>
    <w:p w:rsidR="00000000" w:rsidDel="00000000" w:rsidP="00000000" w:rsidRDefault="00000000" w:rsidRPr="00000000" w14:paraId="00000027">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POTS is “just anxiety.”</w:t>
      </w:r>
    </w:p>
    <w:p w:rsidR="00000000" w:rsidDel="00000000" w:rsidP="00000000" w:rsidRDefault="00000000" w:rsidRPr="00000000" w14:paraId="00000028">
      <w:pPr>
        <w:numPr>
          <w:ilvl w:val="0"/>
          <w:numId w:val="3"/>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Some symptoms of POTS (like a fast heart rate or dizziness) can feel like anxiety, but POTS is a physical condition.</w:t>
      </w:r>
      <w:r w:rsidDel="00000000" w:rsidR="00000000" w:rsidRPr="00000000">
        <w:rPr>
          <w:rFonts w:ascii="Open Sans" w:cs="Open Sans" w:eastAsia="Open Sans" w:hAnsi="Open Sans"/>
          <w:sz w:val="24"/>
          <w:szCs w:val="24"/>
          <w:vertAlign w:val="superscript"/>
          <w:rtl w:val="0"/>
        </w:rPr>
        <w:t xml:space="preserve">2</w:t>
      </w:r>
    </w:p>
    <w:p w:rsidR="00000000" w:rsidDel="00000000" w:rsidP="00000000" w:rsidRDefault="00000000" w:rsidRPr="00000000" w14:paraId="00000029">
      <w:pPr>
        <w:numPr>
          <w:ilvl w:val="0"/>
          <w:numId w:val="3"/>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However, people with POTS may feel anxious because they worry about fainting or getting sick in public.</w:t>
      </w:r>
    </w:p>
    <w:p w:rsidR="00000000" w:rsidDel="00000000" w:rsidP="00000000" w:rsidRDefault="00000000" w:rsidRPr="00000000" w14:paraId="0000002A">
      <w:pPr>
        <w:spacing w:after="0" w:before="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B">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Myth #2</w:t>
      </w:r>
    </w:p>
    <w:p w:rsidR="00000000" w:rsidDel="00000000" w:rsidP="00000000" w:rsidRDefault="00000000" w:rsidRPr="00000000" w14:paraId="0000002C">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Everyone with POTS faints.</w:t>
      </w:r>
    </w:p>
    <w:p w:rsidR="00000000" w:rsidDel="00000000" w:rsidP="00000000" w:rsidRDefault="00000000" w:rsidRPr="00000000" w14:paraId="0000002D">
      <w:pPr>
        <w:numPr>
          <w:ilvl w:val="0"/>
          <w:numId w:val="6"/>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Not everyone who has POTS faints.</w:t>
      </w:r>
      <w:r w:rsidDel="00000000" w:rsidR="00000000" w:rsidRPr="00000000">
        <w:rPr>
          <w:rFonts w:ascii="Open Sans" w:cs="Open Sans" w:eastAsia="Open Sans" w:hAnsi="Open Sans"/>
          <w:sz w:val="24"/>
          <w:szCs w:val="24"/>
          <w:vertAlign w:val="superscript"/>
          <w:rtl w:val="0"/>
        </w:rPr>
        <w:t xml:space="preserve">5</w:t>
      </w:r>
      <w:r w:rsidDel="00000000" w:rsidR="00000000" w:rsidRPr="00000000">
        <w:rPr>
          <w:rtl w:val="0"/>
        </w:rPr>
      </w:r>
    </w:p>
    <w:p w:rsidR="00000000" w:rsidDel="00000000" w:rsidP="00000000" w:rsidRDefault="00000000" w:rsidRPr="00000000" w14:paraId="0000002E">
      <w:pPr>
        <w:numPr>
          <w:ilvl w:val="0"/>
          <w:numId w:val="6"/>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Only about 20–30% of people with POTS faint. Many people with POTS never faint at all.</w:t>
      </w:r>
      <w:r w:rsidDel="00000000" w:rsidR="00000000" w:rsidRPr="00000000">
        <w:rPr>
          <w:rFonts w:ascii="Open Sans" w:cs="Open Sans" w:eastAsia="Open Sans" w:hAnsi="Open Sans"/>
          <w:sz w:val="24"/>
          <w:szCs w:val="24"/>
          <w:vertAlign w:val="superscript"/>
          <w:rtl w:val="0"/>
        </w:rPr>
        <w:t xml:space="preserve">1</w:t>
      </w:r>
    </w:p>
    <w:p w:rsidR="00000000" w:rsidDel="00000000" w:rsidP="00000000" w:rsidRDefault="00000000" w:rsidRPr="00000000" w14:paraId="0000002F">
      <w:pPr>
        <w:spacing w:after="0" w:before="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0">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Resources</w:t>
      </w:r>
    </w:p>
    <w:p w:rsidR="00000000" w:rsidDel="00000000" w:rsidP="00000000" w:rsidRDefault="00000000" w:rsidRPr="00000000" w14:paraId="00000031">
      <w:pPr>
        <w:spacing w:after="0" w:before="0" w:line="276" w:lineRule="auto"/>
        <w:rPr>
          <w:rFonts w:ascii="Open Sans" w:cs="Open Sans" w:eastAsia="Open Sans" w:hAnsi="Open Sans"/>
          <w:sz w:val="24"/>
          <w:szCs w:val="24"/>
        </w:rPr>
      </w:pPr>
      <w:hyperlink r:id="rId6">
        <w:r w:rsidDel="00000000" w:rsidR="00000000" w:rsidRPr="00000000">
          <w:rPr>
            <w:rFonts w:ascii="Open Sans" w:cs="Open Sans" w:eastAsia="Open Sans" w:hAnsi="Open Sans"/>
            <w:color w:val="1155cc"/>
            <w:sz w:val="24"/>
            <w:szCs w:val="24"/>
            <w:u w:val="single"/>
            <w:rtl w:val="0"/>
          </w:rPr>
          <w:t xml:space="preserve">Dysautonomia Support Network</w:t>
        </w:r>
      </w:hyperlink>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32">
      <w:pPr>
        <w:spacing w:after="0" w:before="0" w:line="276" w:lineRule="auto"/>
        <w:rPr>
          <w:rFonts w:ascii="Open Sans" w:cs="Open Sans" w:eastAsia="Open Sans" w:hAnsi="Open Sans"/>
          <w:sz w:val="24"/>
          <w:szCs w:val="24"/>
        </w:rPr>
      </w:pPr>
      <w:hyperlink r:id="rId7">
        <w:r w:rsidDel="00000000" w:rsidR="00000000" w:rsidRPr="00000000">
          <w:rPr>
            <w:rFonts w:ascii="Open Sans" w:cs="Open Sans" w:eastAsia="Open Sans" w:hAnsi="Open Sans"/>
            <w:color w:val="1155cc"/>
            <w:sz w:val="24"/>
            <w:szCs w:val="24"/>
            <w:u w:val="single"/>
            <w:rtl w:val="0"/>
          </w:rPr>
          <w:t xml:space="preserve">Dysautonomia International</w:t>
        </w:r>
      </w:hyperlink>
      <w:r w:rsidDel="00000000" w:rsidR="00000000" w:rsidRPr="00000000">
        <w:rPr>
          <w:rtl w:val="0"/>
        </w:rPr>
      </w:r>
    </w:p>
    <w:p w:rsidR="00000000" w:rsidDel="00000000" w:rsidP="00000000" w:rsidRDefault="00000000" w:rsidRPr="00000000" w14:paraId="00000033">
      <w:pPr>
        <w:spacing w:after="0" w:before="0" w:line="276" w:lineRule="auto"/>
        <w:rPr>
          <w:rFonts w:ascii="Open Sans" w:cs="Open Sans" w:eastAsia="Open Sans" w:hAnsi="Open Sans"/>
          <w:sz w:val="24"/>
          <w:szCs w:val="24"/>
        </w:rPr>
      </w:pPr>
      <w:hyperlink r:id="rId8">
        <w:r w:rsidDel="00000000" w:rsidR="00000000" w:rsidRPr="00000000">
          <w:rPr>
            <w:rFonts w:ascii="Open Sans" w:cs="Open Sans" w:eastAsia="Open Sans" w:hAnsi="Open Sans"/>
            <w:color w:val="1155cc"/>
            <w:sz w:val="24"/>
            <w:szCs w:val="24"/>
            <w:u w:val="single"/>
            <w:rtl w:val="0"/>
          </w:rPr>
          <w:t xml:space="preserve">Standing Up to POTS</w:t>
        </w:r>
      </w:hyperlink>
      <w:r w:rsidDel="00000000" w:rsidR="00000000" w:rsidRPr="00000000">
        <w:rPr>
          <w:rtl w:val="0"/>
        </w:rPr>
      </w:r>
    </w:p>
    <w:p w:rsidR="00000000" w:rsidDel="00000000" w:rsidP="00000000" w:rsidRDefault="00000000" w:rsidRPr="00000000" w14:paraId="00000034">
      <w:pPr>
        <w:spacing w:after="0" w:before="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5">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What can I do?</w:t>
      </w:r>
    </w:p>
    <w:p w:rsidR="00000000" w:rsidDel="00000000" w:rsidP="00000000" w:rsidRDefault="00000000" w:rsidRPr="00000000" w14:paraId="00000036">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Here are some things you can do as a teacher/school staff member to support your student with POTS.</w:t>
      </w:r>
    </w:p>
    <w:p w:rsidR="00000000" w:rsidDel="00000000" w:rsidP="00000000" w:rsidRDefault="00000000" w:rsidRPr="00000000" w14:paraId="00000037">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Let the student sit when needed and avoid long periods of standing</w:t>
      </w:r>
    </w:p>
    <w:p w:rsidR="00000000" w:rsidDel="00000000" w:rsidP="00000000" w:rsidRDefault="00000000" w:rsidRPr="00000000" w14:paraId="00000038">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Seat the student near a wall or door for support</w:t>
      </w:r>
    </w:p>
    <w:p w:rsidR="00000000" w:rsidDel="00000000" w:rsidP="00000000" w:rsidRDefault="00000000" w:rsidRPr="00000000" w14:paraId="00000039">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Allow a water bottle and salty snacks if recommended</w:t>
      </w:r>
    </w:p>
    <w:p w:rsidR="00000000" w:rsidDel="00000000" w:rsidP="00000000" w:rsidRDefault="00000000" w:rsidRPr="00000000" w14:paraId="0000003A">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Give extra time when standing up and allow slower transitions</w:t>
      </w:r>
    </w:p>
    <w:p w:rsidR="00000000" w:rsidDel="00000000" w:rsidP="00000000" w:rsidRDefault="00000000" w:rsidRPr="00000000" w14:paraId="0000003B">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Break work into smaller steps</w:t>
      </w:r>
    </w:p>
    <w:p w:rsidR="00000000" w:rsidDel="00000000" w:rsidP="00000000" w:rsidRDefault="00000000" w:rsidRPr="00000000" w14:paraId="0000003C">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Give both written and spoken directions</w:t>
      </w:r>
    </w:p>
    <w:p w:rsidR="00000000" w:rsidDel="00000000" w:rsidP="00000000" w:rsidRDefault="00000000" w:rsidRPr="00000000" w14:paraId="0000003D">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Allow extra time on tests if needed</w:t>
      </w:r>
    </w:p>
    <w:p w:rsidR="00000000" w:rsidDel="00000000" w:rsidP="00000000" w:rsidRDefault="00000000" w:rsidRPr="00000000" w14:paraId="0000003E">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 flexible with deadlines during symptom flare-ups</w:t>
      </w:r>
    </w:p>
    <w:p w:rsidR="00000000" w:rsidDel="00000000" w:rsidP="00000000" w:rsidRDefault="00000000" w:rsidRPr="00000000" w14:paraId="0000003F">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Create a signal if the student feels faint</w:t>
      </w:r>
    </w:p>
    <w:p w:rsidR="00000000" w:rsidDel="00000000" w:rsidP="00000000" w:rsidRDefault="00000000" w:rsidRPr="00000000" w14:paraId="00000040">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Allow the student to go to the nurse without drawing attention</w:t>
      </w:r>
    </w:p>
    <w:p w:rsidR="00000000" w:rsidDel="00000000" w:rsidP="00000000" w:rsidRDefault="00000000" w:rsidRPr="00000000" w14:paraId="00000041">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Provide a safe place to lie down if needed</w:t>
      </w:r>
    </w:p>
    <w:p w:rsidR="00000000" w:rsidDel="00000000" w:rsidP="00000000" w:rsidRDefault="00000000" w:rsidRPr="00000000" w14:paraId="00000042">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Adjust PE activities (avoid long endurance activities, allow seated options)</w:t>
      </w:r>
    </w:p>
    <w:p w:rsidR="00000000" w:rsidDel="00000000" w:rsidP="00000000" w:rsidRDefault="00000000" w:rsidRPr="00000000" w14:paraId="00000043">
      <w:pPr>
        <w:numPr>
          <w:ilvl w:val="0"/>
          <w:numId w:val="5"/>
        </w:numPr>
        <w:spacing w:after="0" w:before="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Stay in touch with caregivers about diet and needs</w:t>
      </w:r>
    </w:p>
    <w:p w:rsidR="00000000" w:rsidDel="00000000" w:rsidP="00000000" w:rsidRDefault="00000000" w:rsidRPr="00000000" w14:paraId="00000044">
      <w:pPr>
        <w:spacing w:after="0" w:before="0"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5">
      <w:pPr>
        <w:spacing w:after="0" w:before="0"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References</w:t>
      </w:r>
    </w:p>
    <w:p w:rsidR="00000000" w:rsidDel="00000000" w:rsidP="00000000" w:rsidRDefault="00000000" w:rsidRPr="00000000" w14:paraId="00000046">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1</w:t>
      </w:r>
      <w:r w:rsidDel="00000000" w:rsidR="00000000" w:rsidRPr="00000000">
        <w:rPr>
          <w:rFonts w:ascii="Open Sans" w:cs="Open Sans" w:eastAsia="Open Sans" w:hAnsi="Open Sans"/>
          <w:sz w:val="24"/>
          <w:szCs w:val="24"/>
          <w:rtl w:val="0"/>
        </w:rPr>
        <w:t xml:space="preserve">Arnold AC, Ng J, Raj SR. Postural tachycardia syndrome - Diagnosis, physiology, and </w:t>
      </w:r>
    </w:p>
    <w:p w:rsidR="00000000" w:rsidDel="00000000" w:rsidP="00000000" w:rsidRDefault="00000000" w:rsidRPr="00000000" w14:paraId="00000047">
      <w:pPr>
        <w:spacing w:after="0" w:before="0" w:line="276" w:lineRule="auto"/>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prognosis. Auton Neurosci. 2018;215:3-11. doi:10.1016/j.autneu.2018.02.005</w:t>
      </w:r>
    </w:p>
    <w:p w:rsidR="00000000" w:rsidDel="00000000" w:rsidP="00000000" w:rsidRDefault="00000000" w:rsidRPr="00000000" w14:paraId="00000048">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2</w:t>
      </w:r>
      <w:r w:rsidDel="00000000" w:rsidR="00000000" w:rsidRPr="00000000">
        <w:rPr>
          <w:rFonts w:ascii="Open Sans" w:cs="Open Sans" w:eastAsia="Open Sans" w:hAnsi="Open Sans"/>
          <w:sz w:val="24"/>
          <w:szCs w:val="24"/>
          <w:rtl w:val="0"/>
        </w:rPr>
        <w:t xml:space="preserve">Boris JR. Postural orthostatic tachycardia syndrome in children and adolescents. Auton </w:t>
      </w:r>
    </w:p>
    <w:p w:rsidR="00000000" w:rsidDel="00000000" w:rsidP="00000000" w:rsidRDefault="00000000" w:rsidRPr="00000000" w14:paraId="00000049">
      <w:pPr>
        <w:spacing w:after="0" w:before="0" w:line="276" w:lineRule="auto"/>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Neurosci. 2018;215:97-101. doi:10.1016/j.autneu.2018.05.004.</w:t>
      </w:r>
    </w:p>
    <w:p w:rsidR="00000000" w:rsidDel="00000000" w:rsidP="00000000" w:rsidRDefault="00000000" w:rsidRPr="00000000" w14:paraId="0000004A">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3</w:t>
      </w:r>
      <w:r w:rsidDel="00000000" w:rsidR="00000000" w:rsidRPr="00000000">
        <w:rPr>
          <w:rFonts w:ascii="Open Sans" w:cs="Open Sans" w:eastAsia="Open Sans" w:hAnsi="Open Sans"/>
          <w:sz w:val="24"/>
          <w:szCs w:val="24"/>
          <w:rtl w:val="0"/>
        </w:rPr>
        <w:t xml:space="preserve">Chemali K, McNeeley K. Co-morbidities of neuropathic postural orthostatic tachycardia </w:t>
      </w:r>
    </w:p>
    <w:p w:rsidR="00000000" w:rsidDel="00000000" w:rsidP="00000000" w:rsidRDefault="00000000" w:rsidRPr="00000000" w14:paraId="0000004B">
      <w:pPr>
        <w:spacing w:after="0" w:before="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syndrome and of the autonomic neuropathies. Neurology. 2014;82(10 suppl):P1.093. doi:10.1212/WNL.82.10_supplement.P1.093.</w:t>
      </w:r>
    </w:p>
    <w:p w:rsidR="00000000" w:rsidDel="00000000" w:rsidP="00000000" w:rsidRDefault="00000000" w:rsidRPr="00000000" w14:paraId="0000004C">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4</w:t>
      </w:r>
      <w:r w:rsidDel="00000000" w:rsidR="00000000" w:rsidRPr="00000000">
        <w:rPr>
          <w:rFonts w:ascii="Open Sans" w:cs="Open Sans" w:eastAsia="Open Sans" w:hAnsi="Open Sans"/>
          <w:sz w:val="24"/>
          <w:szCs w:val="24"/>
          <w:rtl w:val="0"/>
        </w:rPr>
        <w:t xml:space="preserve">Chen G, Du J, Jin H, Huang Y. Postural Tachycardia Syndrome in Children and Adolescents: </w:t>
      </w:r>
    </w:p>
    <w:p w:rsidR="00000000" w:rsidDel="00000000" w:rsidP="00000000" w:rsidRDefault="00000000" w:rsidRPr="00000000" w14:paraId="0000004D">
      <w:pPr>
        <w:spacing w:after="0" w:before="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Pathophysiology and Clinical Management. Front Pediatr. 2020;8:474. Published 2020 Aug 20. doi:10.3389/fped.2020.00474</w:t>
      </w:r>
    </w:p>
    <w:p w:rsidR="00000000" w:rsidDel="00000000" w:rsidP="00000000" w:rsidRDefault="00000000" w:rsidRPr="00000000" w14:paraId="0000004E">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5</w:t>
      </w:r>
      <w:r w:rsidDel="00000000" w:rsidR="00000000" w:rsidRPr="00000000">
        <w:rPr>
          <w:rFonts w:ascii="Open Sans" w:cs="Open Sans" w:eastAsia="Open Sans" w:hAnsi="Open Sans"/>
          <w:sz w:val="24"/>
          <w:szCs w:val="24"/>
          <w:rtl w:val="0"/>
        </w:rPr>
        <w:t xml:space="preserve">Johns Hopkins Medicine. Postural orthostatic tachycardia syndrome (POTS). Accessed </w:t>
      </w:r>
    </w:p>
    <w:p w:rsidR="00000000" w:rsidDel="00000000" w:rsidP="00000000" w:rsidRDefault="00000000" w:rsidRPr="00000000" w14:paraId="0000004F">
      <w:pPr>
        <w:spacing w:after="0" w:before="0" w:line="276" w:lineRule="auto"/>
        <w:ind w:left="720" w:firstLine="0"/>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March 5, 2026.</w:t>
      </w:r>
      <w:hyperlink r:id="rId9">
        <w:r w:rsidDel="00000000" w:rsidR="00000000" w:rsidRPr="00000000">
          <w:rPr>
            <w:rFonts w:ascii="Open Sans" w:cs="Open Sans" w:eastAsia="Open Sans" w:hAnsi="Open Sans"/>
            <w:sz w:val="24"/>
            <w:szCs w:val="24"/>
            <w:rtl w:val="0"/>
          </w:rPr>
          <w:t xml:space="preserve"> </w:t>
        </w:r>
      </w:hyperlink>
      <w:hyperlink r:id="rId10">
        <w:r w:rsidDel="00000000" w:rsidR="00000000" w:rsidRPr="00000000">
          <w:rPr>
            <w:rFonts w:ascii="Open Sans" w:cs="Open Sans" w:eastAsia="Open Sans" w:hAnsi="Open Sans"/>
            <w:sz w:val="24"/>
            <w:szCs w:val="24"/>
            <w:u w:val="single"/>
            <w:rtl w:val="0"/>
          </w:rPr>
          <w:t xml:space="preserve">https://www.hopkinsmedicine.org/health/conditions-and-diseases/postural-orthostatic-tachycardia-syndrome-pots</w:t>
        </w:r>
      </w:hyperlink>
      <w:r w:rsidDel="00000000" w:rsidR="00000000" w:rsidRPr="00000000">
        <w:rPr>
          <w:rtl w:val="0"/>
        </w:rPr>
      </w:r>
    </w:p>
    <w:p w:rsidR="00000000" w:rsidDel="00000000" w:rsidP="00000000" w:rsidRDefault="00000000" w:rsidRPr="00000000" w14:paraId="00000050">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6</w:t>
      </w:r>
      <w:r w:rsidDel="00000000" w:rsidR="00000000" w:rsidRPr="00000000">
        <w:rPr>
          <w:rFonts w:ascii="Open Sans" w:cs="Open Sans" w:eastAsia="Open Sans" w:hAnsi="Open Sans"/>
          <w:sz w:val="24"/>
          <w:szCs w:val="24"/>
          <w:rtl w:val="0"/>
        </w:rPr>
        <w:t xml:space="preserve">Raj SR, Fedorowski A, Sheldon RS. Diagnosis and management of postural orthostatic </w:t>
      </w:r>
    </w:p>
    <w:p w:rsidR="00000000" w:rsidDel="00000000" w:rsidP="00000000" w:rsidRDefault="00000000" w:rsidRPr="00000000" w14:paraId="00000051">
      <w:pPr>
        <w:spacing w:after="0" w:before="0" w:line="276" w:lineRule="auto"/>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tachycardia syndrome. CMAJ. 2022;194(10):E378-E385. doi:10.1503/cmaj.211373</w:t>
      </w:r>
    </w:p>
    <w:p w:rsidR="00000000" w:rsidDel="00000000" w:rsidP="00000000" w:rsidRDefault="00000000" w:rsidRPr="00000000" w14:paraId="00000052">
      <w:pPr>
        <w:spacing w:after="0" w:before="0"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vertAlign w:val="superscript"/>
          <w:rtl w:val="0"/>
        </w:rPr>
        <w:t xml:space="preserve">7</w:t>
      </w:r>
      <w:r w:rsidDel="00000000" w:rsidR="00000000" w:rsidRPr="00000000">
        <w:rPr>
          <w:rFonts w:ascii="Open Sans" w:cs="Open Sans" w:eastAsia="Open Sans" w:hAnsi="Open Sans"/>
          <w:sz w:val="24"/>
          <w:szCs w:val="24"/>
          <w:rtl w:val="0"/>
        </w:rPr>
        <w:t xml:space="preserve">Lin J, Han Z, Li X, et al. Risk factors for postural tachycardia syndrome in children and </w:t>
      </w:r>
    </w:p>
    <w:p w:rsidR="00000000" w:rsidDel="00000000" w:rsidP="00000000" w:rsidRDefault="00000000" w:rsidRPr="00000000" w14:paraId="00000053">
      <w:pPr>
        <w:spacing w:after="0" w:before="0" w:line="276"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adolescents. PLoS One. 2014;9(12):e113625. Published 2014 Dec 4. doi:10.1371/journal.pone.0113625</w:t>
      </w:r>
    </w:p>
    <w:p w:rsidR="00000000" w:rsidDel="00000000" w:rsidP="00000000" w:rsidRDefault="00000000" w:rsidRPr="00000000" w14:paraId="00000054">
      <w:pPr>
        <w:spacing w:after="0" w:before="0" w:line="276" w:lineRule="auto"/>
        <w:rPr>
          <w:rFonts w:ascii="Open Sans" w:cs="Open Sans" w:eastAsia="Open Sans" w:hAnsi="Open Sans"/>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hopkinsmedicine.org/health/conditions-and-diseases/postural-orthostatic-tachycardia-syndrome-pots" TargetMode="External"/><Relationship Id="rId9" Type="http://schemas.openxmlformats.org/officeDocument/2006/relationships/hyperlink" Target="https://www.hopkinsmedicine.org/health/conditions-and-diseases/postural-orthostatic-tachycardia-syndrome-pots" TargetMode="External"/><Relationship Id="rId5" Type="http://schemas.openxmlformats.org/officeDocument/2006/relationships/styles" Target="styles.xml"/><Relationship Id="rId6" Type="http://schemas.openxmlformats.org/officeDocument/2006/relationships/hyperlink" Target="https://www.dysautonomiasupport.org/" TargetMode="External"/><Relationship Id="rId7" Type="http://schemas.openxmlformats.org/officeDocument/2006/relationships/hyperlink" Target="https://www.dysautonomiainternational.org/index.php" TargetMode="External"/><Relationship Id="rId8" Type="http://schemas.openxmlformats.org/officeDocument/2006/relationships/hyperlink" Target="https://www.standinguptopot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