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F75CCB" w14:textId="4B27039D" w:rsidR="000757ED" w:rsidRPr="00FC39D6" w:rsidRDefault="000757ED" w:rsidP="00C53853">
      <w:pPr>
        <w:jc w:val="center"/>
        <w:rPr>
          <w:rFonts w:ascii="Arial" w:hAnsi="Arial" w:cs="Arial"/>
          <w:b/>
          <w:bCs/>
          <w:sz w:val="32"/>
          <w:szCs w:val="32"/>
        </w:rPr>
      </w:pPr>
      <w:r w:rsidRPr="00FC39D6">
        <w:rPr>
          <w:rFonts w:ascii="Arial" w:hAnsi="Arial" w:cs="Arial"/>
          <w:b/>
          <w:bCs/>
          <w:sz w:val="32"/>
          <w:szCs w:val="32"/>
        </w:rPr>
        <w:t>Resources, References, and Recent Literature</w:t>
      </w:r>
    </w:p>
    <w:p w14:paraId="270E469C" w14:textId="18D85344" w:rsidR="002274E1" w:rsidRPr="00FC39D6" w:rsidRDefault="00C53853">
      <w:pPr>
        <w:rPr>
          <w:rFonts w:ascii="Arial" w:hAnsi="Arial" w:cs="Arial"/>
          <w:b/>
          <w:bCs/>
          <w:sz w:val="28"/>
          <w:szCs w:val="28"/>
        </w:rPr>
      </w:pPr>
      <w:r w:rsidRPr="00FC39D6">
        <w:rPr>
          <w:rFonts w:ascii="Arial" w:hAnsi="Arial" w:cs="Arial"/>
          <w:b/>
          <w:bCs/>
          <w:sz w:val="28"/>
          <w:szCs w:val="28"/>
        </w:rPr>
        <w:t>C</w:t>
      </w:r>
      <w:r w:rsidR="008E5822">
        <w:rPr>
          <w:rFonts w:ascii="Arial" w:hAnsi="Arial" w:cs="Arial"/>
          <w:b/>
          <w:bCs/>
          <w:sz w:val="28"/>
          <w:szCs w:val="28"/>
        </w:rPr>
        <w:t>r</w:t>
      </w:r>
      <w:r w:rsidR="00FC39D6" w:rsidRPr="00FC39D6">
        <w:rPr>
          <w:rFonts w:ascii="Arial" w:hAnsi="Arial" w:cs="Arial"/>
          <w:b/>
          <w:bCs/>
          <w:sz w:val="28"/>
          <w:szCs w:val="28"/>
        </w:rPr>
        <w:t xml:space="preserve">EER Series: </w:t>
      </w:r>
      <w:r w:rsidR="002274E1" w:rsidRPr="00FC39D6">
        <w:rPr>
          <w:rFonts w:ascii="Arial" w:hAnsi="Arial" w:cs="Arial"/>
          <w:b/>
          <w:bCs/>
          <w:sz w:val="24"/>
          <w:szCs w:val="24"/>
        </w:rPr>
        <w:t>Surveying Diversity: Best practices for multi-cultural, multi-lingual research</w:t>
      </w:r>
    </w:p>
    <w:p w14:paraId="64AC9C71" w14:textId="77777777" w:rsidR="002274E1" w:rsidRPr="00FC39D6" w:rsidRDefault="002274E1">
      <w:pPr>
        <w:rPr>
          <w:rFonts w:ascii="Arial" w:hAnsi="Arial" w:cs="Arial"/>
        </w:rPr>
      </w:pPr>
    </w:p>
    <w:p w14:paraId="434B737F" w14:textId="5981865C" w:rsidR="002274E1" w:rsidRPr="00FC39D6" w:rsidRDefault="002274E1">
      <w:pPr>
        <w:rPr>
          <w:rFonts w:ascii="Arial" w:hAnsi="Arial" w:cs="Arial"/>
          <w:b/>
          <w:bCs/>
          <w:u w:val="single"/>
        </w:rPr>
      </w:pPr>
      <w:r w:rsidRPr="00FC39D6">
        <w:rPr>
          <w:rFonts w:ascii="Arial" w:hAnsi="Arial" w:cs="Arial"/>
          <w:b/>
          <w:bCs/>
          <w:u w:val="single"/>
        </w:rPr>
        <w:t>Resources</w:t>
      </w:r>
    </w:p>
    <w:p w14:paraId="38701F20" w14:textId="77777777" w:rsidR="005D0342" w:rsidRPr="00FC39D6" w:rsidRDefault="002274E1" w:rsidP="00E67D35">
      <w:pPr>
        <w:pStyle w:val="ListParagraph"/>
        <w:numPr>
          <w:ilvl w:val="0"/>
          <w:numId w:val="1"/>
        </w:numPr>
        <w:rPr>
          <w:rFonts w:ascii="Arial" w:hAnsi="Arial" w:cs="Arial"/>
        </w:rPr>
      </w:pPr>
      <w:r w:rsidRPr="00FC39D6">
        <w:rPr>
          <w:rFonts w:ascii="Arial" w:hAnsi="Arial" w:cs="Arial"/>
        </w:rPr>
        <w:t>Cross-cultural Survey Guidelines (CCSG):</w:t>
      </w:r>
    </w:p>
    <w:p w14:paraId="0DE9CCB8" w14:textId="5FAB3EDA" w:rsidR="005D0342" w:rsidRPr="00FC39D6" w:rsidRDefault="005D0342" w:rsidP="00E67D35">
      <w:pPr>
        <w:pStyle w:val="ListParagraph"/>
        <w:numPr>
          <w:ilvl w:val="1"/>
          <w:numId w:val="1"/>
        </w:numPr>
        <w:rPr>
          <w:rFonts w:ascii="Arial" w:hAnsi="Arial" w:cs="Arial"/>
        </w:rPr>
      </w:pPr>
      <w:r w:rsidRPr="00FC39D6">
        <w:rPr>
          <w:rFonts w:ascii="Arial" w:hAnsi="Arial" w:cs="Arial"/>
        </w:rPr>
        <w:t>F</w:t>
      </w:r>
      <w:r w:rsidR="002B0535" w:rsidRPr="00FC39D6">
        <w:rPr>
          <w:rFonts w:ascii="Arial" w:hAnsi="Arial" w:cs="Arial"/>
        </w:rPr>
        <w:t xml:space="preserve">ocuses on the issues key to comparative research but is also relevant to conducting survey research in an international setting. Chapters are available for each stage of the survey lifecycle, including those stages relevant primarily to international and/or comparative research, such as Translation and Adaptation. The Guidelines </w:t>
      </w:r>
      <w:r w:rsidRPr="00FC39D6">
        <w:rPr>
          <w:rFonts w:ascii="Arial" w:hAnsi="Arial" w:cs="Arial"/>
        </w:rPr>
        <w:t>are currently under</w:t>
      </w:r>
      <w:r w:rsidR="00E67D35" w:rsidRPr="00FC39D6">
        <w:rPr>
          <w:rFonts w:ascii="Arial" w:hAnsi="Arial" w:cs="Arial"/>
        </w:rPr>
        <w:t xml:space="preserve">going a significant update with </w:t>
      </w:r>
      <w:r w:rsidR="002B0535" w:rsidRPr="00FC39D6">
        <w:rPr>
          <w:rFonts w:ascii="Arial" w:hAnsi="Arial" w:cs="Arial"/>
        </w:rPr>
        <w:t xml:space="preserve">recent research. </w:t>
      </w:r>
    </w:p>
    <w:p w14:paraId="7BA5D9C8" w14:textId="59CFB948" w:rsidR="002B0535" w:rsidRPr="00FC39D6" w:rsidRDefault="00E67D35" w:rsidP="00E67D35">
      <w:pPr>
        <w:pStyle w:val="ListParagraph"/>
        <w:numPr>
          <w:ilvl w:val="1"/>
          <w:numId w:val="1"/>
        </w:numPr>
        <w:rPr>
          <w:rFonts w:ascii="Arial" w:hAnsi="Arial" w:cs="Arial"/>
        </w:rPr>
      </w:pPr>
      <w:hyperlink r:id="rId5" w:history="1">
        <w:r w:rsidRPr="00FC39D6">
          <w:rPr>
            <w:rStyle w:val="Hyperlink"/>
            <w:rFonts w:ascii="Arial" w:hAnsi="Arial" w:cs="Arial"/>
          </w:rPr>
          <w:t>http://ccsg.isr.umich.edu/</w:t>
        </w:r>
      </w:hyperlink>
    </w:p>
    <w:p w14:paraId="2ACD63B0" w14:textId="0356E17E" w:rsidR="00E67D35" w:rsidRPr="00FC39D6" w:rsidRDefault="00E67D35" w:rsidP="00E67D35">
      <w:pPr>
        <w:pStyle w:val="ListParagraph"/>
        <w:numPr>
          <w:ilvl w:val="0"/>
          <w:numId w:val="1"/>
        </w:numPr>
        <w:rPr>
          <w:rFonts w:ascii="Arial" w:hAnsi="Arial" w:cs="Arial"/>
        </w:rPr>
      </w:pPr>
      <w:r w:rsidRPr="00FC39D6">
        <w:rPr>
          <w:rFonts w:ascii="Arial" w:hAnsi="Arial" w:cs="Arial"/>
        </w:rPr>
        <w:t>Comparative Survey Design and Implementation Initiative</w:t>
      </w:r>
    </w:p>
    <w:p w14:paraId="460189F1" w14:textId="465D624D" w:rsidR="00E67D35" w:rsidRPr="00FC39D6" w:rsidRDefault="00E67D35" w:rsidP="00E67D35">
      <w:pPr>
        <w:pStyle w:val="ListParagraph"/>
        <w:numPr>
          <w:ilvl w:val="1"/>
          <w:numId w:val="1"/>
        </w:numPr>
        <w:rPr>
          <w:rFonts w:ascii="Arial" w:hAnsi="Arial" w:cs="Arial"/>
        </w:rPr>
      </w:pPr>
      <w:r w:rsidRPr="00FC39D6">
        <w:rPr>
          <w:rFonts w:ascii="Arial" w:hAnsi="Arial" w:cs="Arial"/>
        </w:rPr>
        <w:t>Annual workshop</w:t>
      </w:r>
      <w:r w:rsidR="009D3A62" w:rsidRPr="00FC39D6">
        <w:rPr>
          <w:rFonts w:ascii="Arial" w:hAnsi="Arial" w:cs="Arial"/>
        </w:rPr>
        <w:t xml:space="preserve"> (March/April)</w:t>
      </w:r>
      <w:r w:rsidRPr="00FC39D6">
        <w:rPr>
          <w:rFonts w:ascii="Arial" w:hAnsi="Arial" w:cs="Arial"/>
        </w:rPr>
        <w:t xml:space="preserve"> on comparative methods and comparative research</w:t>
      </w:r>
    </w:p>
    <w:p w14:paraId="5F29B475" w14:textId="40537769" w:rsidR="009D3A62" w:rsidRPr="00FC39D6" w:rsidRDefault="009D3A62" w:rsidP="00E67D35">
      <w:pPr>
        <w:pStyle w:val="ListParagraph"/>
        <w:numPr>
          <w:ilvl w:val="1"/>
          <w:numId w:val="1"/>
        </w:numPr>
        <w:rPr>
          <w:rFonts w:ascii="Arial" w:hAnsi="Arial" w:cs="Arial"/>
        </w:rPr>
      </w:pPr>
      <w:hyperlink r:id="rId6" w:history="1">
        <w:r w:rsidRPr="00FC39D6">
          <w:rPr>
            <w:rStyle w:val="Hyperlink"/>
            <w:rFonts w:ascii="Arial" w:hAnsi="Arial" w:cs="Arial"/>
          </w:rPr>
          <w:t>https://csdiworkshop.org/</w:t>
        </w:r>
      </w:hyperlink>
    </w:p>
    <w:p w14:paraId="51CB7A8D" w14:textId="0790F593" w:rsidR="00AB3C71" w:rsidRPr="00FC39D6" w:rsidRDefault="00AB3C71" w:rsidP="00E67D35">
      <w:pPr>
        <w:pStyle w:val="ListParagraph"/>
        <w:numPr>
          <w:ilvl w:val="1"/>
          <w:numId w:val="1"/>
        </w:numPr>
        <w:rPr>
          <w:rFonts w:ascii="Arial" w:hAnsi="Arial" w:cs="Arial"/>
        </w:rPr>
      </w:pPr>
      <w:r w:rsidRPr="00FC39D6">
        <w:rPr>
          <w:rFonts w:ascii="Arial" w:hAnsi="Arial" w:cs="Arial"/>
        </w:rPr>
        <w:t xml:space="preserve">Email </w:t>
      </w:r>
      <w:hyperlink r:id="rId7" w:history="1">
        <w:r w:rsidRPr="00FC39D6">
          <w:rPr>
            <w:rStyle w:val="Hyperlink"/>
            <w:rFonts w:ascii="Arial" w:hAnsi="Arial" w:cs="Arial"/>
          </w:rPr>
          <w:t>jjosefos@umich.edu</w:t>
        </w:r>
      </w:hyperlink>
      <w:r w:rsidRPr="00FC39D6">
        <w:rPr>
          <w:rFonts w:ascii="Arial" w:hAnsi="Arial" w:cs="Arial"/>
        </w:rPr>
        <w:t xml:space="preserve"> to be added to the list-serv</w:t>
      </w:r>
    </w:p>
    <w:p w14:paraId="60823F6C" w14:textId="77777777" w:rsidR="00AB3C71" w:rsidRPr="00FC39D6" w:rsidRDefault="00AB3C71" w:rsidP="009D3A62">
      <w:pPr>
        <w:rPr>
          <w:rFonts w:ascii="Arial" w:hAnsi="Arial" w:cs="Arial"/>
        </w:rPr>
      </w:pPr>
    </w:p>
    <w:p w14:paraId="6BD4A574" w14:textId="1C9CF193" w:rsidR="009D3A62" w:rsidRPr="00FC39D6" w:rsidRDefault="009D3A62" w:rsidP="009D3A62">
      <w:pPr>
        <w:rPr>
          <w:rFonts w:ascii="Arial" w:hAnsi="Arial" w:cs="Arial"/>
          <w:b/>
          <w:bCs/>
          <w:u w:val="single"/>
        </w:rPr>
      </w:pPr>
      <w:r w:rsidRPr="00FC39D6">
        <w:rPr>
          <w:rFonts w:ascii="Arial" w:hAnsi="Arial" w:cs="Arial"/>
          <w:b/>
          <w:bCs/>
          <w:u w:val="single"/>
        </w:rPr>
        <w:t>Reference List</w:t>
      </w:r>
      <w:r w:rsidR="00512438" w:rsidRPr="00FC39D6">
        <w:rPr>
          <w:rFonts w:ascii="Arial" w:hAnsi="Arial" w:cs="Arial"/>
          <w:b/>
          <w:bCs/>
          <w:u w:val="single"/>
        </w:rPr>
        <w:t xml:space="preserve"> </w:t>
      </w:r>
    </w:p>
    <w:p w14:paraId="13CBAC10" w14:textId="77777777" w:rsidR="00EA2176" w:rsidRPr="00FC39D6" w:rsidRDefault="00EA2176" w:rsidP="00EA2176">
      <w:pPr>
        <w:pStyle w:val="HandbookMainText"/>
        <w:jc w:val="left"/>
        <w:rPr>
          <w:rFonts w:ascii="Arial" w:hAnsi="Arial" w:cs="Arial"/>
        </w:rPr>
      </w:pPr>
      <w:r w:rsidRPr="00FC39D6">
        <w:rPr>
          <w:rFonts w:ascii="Arial" w:hAnsi="Arial" w:cs="Arial"/>
        </w:rPr>
        <w:t xml:space="preserve">Beatty, P.C. &amp; Willis, G.B. (2007). Research Synthesis: The Practice of Cognitive Interviewing. </w:t>
      </w:r>
      <w:r w:rsidRPr="00FC39D6">
        <w:rPr>
          <w:rFonts w:ascii="Arial" w:hAnsi="Arial" w:cs="Arial"/>
          <w:i/>
        </w:rPr>
        <w:t>Public Opinion Quarterly, 71</w:t>
      </w:r>
      <w:r w:rsidRPr="00FC39D6">
        <w:rPr>
          <w:rFonts w:ascii="Arial" w:hAnsi="Arial" w:cs="Arial"/>
        </w:rPr>
        <w:t>, 287– 311.</w:t>
      </w:r>
    </w:p>
    <w:p w14:paraId="5B8C3613" w14:textId="3CF026FD" w:rsidR="005522EB" w:rsidRPr="00FC39D6" w:rsidRDefault="00767D87" w:rsidP="005D45B7">
      <w:pPr>
        <w:pStyle w:val="HandbookMainText"/>
        <w:jc w:val="left"/>
        <w:rPr>
          <w:rFonts w:ascii="Arial" w:hAnsi="Arial" w:cs="Arial"/>
          <w:lang w:val="en-US"/>
        </w:rPr>
      </w:pPr>
      <w:r w:rsidRPr="00FC39D6">
        <w:rPr>
          <w:rFonts w:ascii="Arial" w:hAnsi="Arial" w:cs="Arial"/>
        </w:rPr>
        <w:t>Behr</w:t>
      </w:r>
      <w:r w:rsidR="008923F4" w:rsidRPr="00FC39D6">
        <w:rPr>
          <w:rFonts w:ascii="Arial" w:hAnsi="Arial" w:cs="Arial"/>
        </w:rPr>
        <w:t xml:space="preserve">., D., Nkong, U., &amp; Radinger, A. (2025). </w:t>
      </w:r>
      <w:r w:rsidR="005522EB" w:rsidRPr="00FC39D6">
        <w:rPr>
          <w:rFonts w:ascii="Arial" w:hAnsi="Arial" w:cs="Arial"/>
          <w:lang w:val="en-US"/>
        </w:rPr>
        <w:t>Using measures of similarity and dissimilarity to assess: How is post-editing questionnaire translations different from from-scratch translations, in general and across different groups of translators (professional translators vs. social scientists)?</w:t>
      </w:r>
      <w:r w:rsidR="008923F4" w:rsidRPr="00FC39D6">
        <w:rPr>
          <w:rFonts w:ascii="Arial" w:hAnsi="Arial" w:cs="Arial"/>
          <w:lang w:val="en-US"/>
        </w:rPr>
        <w:t xml:space="preserve"> Presented at the </w:t>
      </w:r>
      <w:r w:rsidR="003716F4" w:rsidRPr="00FC39D6">
        <w:rPr>
          <w:rFonts w:ascii="Arial" w:hAnsi="Arial" w:cs="Arial"/>
          <w:lang w:val="en-US"/>
        </w:rPr>
        <w:t>Annual Comparative Survey Design and Implementation Workshop, Skopje, North Macedonia, April 7 – 8.</w:t>
      </w:r>
    </w:p>
    <w:p w14:paraId="389C5073" w14:textId="584B4B14" w:rsidR="005D45B7" w:rsidRPr="00FC39D6" w:rsidRDefault="005D45B7" w:rsidP="005D45B7">
      <w:pPr>
        <w:pStyle w:val="HandbookMainText"/>
        <w:jc w:val="left"/>
        <w:rPr>
          <w:rFonts w:ascii="Arial" w:hAnsi="Arial" w:cs="Arial"/>
        </w:rPr>
      </w:pPr>
      <w:r w:rsidRPr="00FC39D6">
        <w:rPr>
          <w:rFonts w:ascii="Arial" w:hAnsi="Arial" w:cs="Arial"/>
        </w:rPr>
        <w:t xml:space="preserve">Bernardi, R. A. (2006). Associations between Hofstede’s cultural constructs and social desirability response bias. </w:t>
      </w:r>
      <w:r w:rsidRPr="00FC39D6">
        <w:rPr>
          <w:rFonts w:ascii="Arial" w:hAnsi="Arial" w:cs="Arial"/>
          <w:i/>
        </w:rPr>
        <w:t>Journal of Business Ethics</w:t>
      </w:r>
      <w:r w:rsidRPr="00FC39D6">
        <w:rPr>
          <w:rFonts w:ascii="Arial" w:hAnsi="Arial" w:cs="Arial"/>
        </w:rPr>
        <w:t xml:space="preserve">, </w:t>
      </w:r>
      <w:r w:rsidRPr="00FC39D6">
        <w:rPr>
          <w:rFonts w:ascii="Arial" w:hAnsi="Arial" w:cs="Arial"/>
          <w:i/>
        </w:rPr>
        <w:t>65</w:t>
      </w:r>
      <w:r w:rsidRPr="00FC39D6">
        <w:rPr>
          <w:rFonts w:ascii="Arial" w:hAnsi="Arial" w:cs="Arial"/>
        </w:rPr>
        <w:t>(1), 43–53.</w:t>
      </w:r>
    </w:p>
    <w:p w14:paraId="22163E54" w14:textId="77777777" w:rsidR="00886930" w:rsidRPr="00FC39D6" w:rsidRDefault="00886930" w:rsidP="00886930">
      <w:pPr>
        <w:pStyle w:val="HandbookMainText"/>
        <w:jc w:val="left"/>
        <w:rPr>
          <w:rFonts w:ascii="Arial" w:hAnsi="Arial" w:cs="Arial"/>
        </w:rPr>
      </w:pPr>
      <w:r w:rsidRPr="00FC39D6">
        <w:rPr>
          <w:rFonts w:ascii="Arial" w:hAnsi="Arial" w:cs="Arial"/>
        </w:rPr>
        <w:t xml:space="preserve">Bond, R., &amp; Smith, P. B. (1996). Culture and conformity: A meta-analysis of studies using Asch’s (1952b, 1956) line judgment task. </w:t>
      </w:r>
      <w:r w:rsidRPr="00FC39D6">
        <w:rPr>
          <w:rFonts w:ascii="Arial" w:hAnsi="Arial" w:cs="Arial"/>
          <w:i/>
        </w:rPr>
        <w:t>Psychological Bulletin</w:t>
      </w:r>
      <w:r w:rsidRPr="00FC39D6">
        <w:rPr>
          <w:rFonts w:ascii="Arial" w:hAnsi="Arial" w:cs="Arial"/>
        </w:rPr>
        <w:t xml:space="preserve">, </w:t>
      </w:r>
      <w:r w:rsidRPr="00FC39D6">
        <w:rPr>
          <w:rFonts w:ascii="Arial" w:hAnsi="Arial" w:cs="Arial"/>
          <w:i/>
        </w:rPr>
        <w:t>119</w:t>
      </w:r>
      <w:r w:rsidRPr="00FC39D6">
        <w:rPr>
          <w:rFonts w:ascii="Arial" w:hAnsi="Arial" w:cs="Arial"/>
        </w:rPr>
        <w:t>(1), 111.</w:t>
      </w:r>
    </w:p>
    <w:p w14:paraId="04E90376" w14:textId="77777777" w:rsidR="001B23F3" w:rsidRPr="00FC39D6" w:rsidRDefault="001B23F3" w:rsidP="0007479A">
      <w:pPr>
        <w:pStyle w:val="HandbookMainText"/>
        <w:rPr>
          <w:rFonts w:ascii="Arial" w:hAnsi="Arial" w:cs="Arial"/>
          <w:lang w:val="en-US"/>
        </w:rPr>
      </w:pPr>
      <w:r w:rsidRPr="00FC39D6">
        <w:rPr>
          <w:rFonts w:ascii="Arial" w:hAnsi="Arial" w:cs="Arial"/>
          <w:lang w:val="en-US"/>
        </w:rPr>
        <w:t xml:space="preserve">Biemer, P. P., &amp; Lyberg, L. E. (2003), </w:t>
      </w:r>
      <w:r w:rsidRPr="00FC39D6">
        <w:rPr>
          <w:rFonts w:ascii="Arial" w:hAnsi="Arial" w:cs="Arial"/>
          <w:i/>
          <w:lang w:val="en-US"/>
        </w:rPr>
        <w:t>Introduction to survey quality</w:t>
      </w:r>
      <w:r w:rsidRPr="00FC39D6">
        <w:rPr>
          <w:rFonts w:ascii="Arial" w:hAnsi="Arial" w:cs="Arial"/>
          <w:lang w:val="en-US"/>
        </w:rPr>
        <w:t xml:space="preserve">. John Wiley &amp; Sons, Inc. </w:t>
      </w:r>
    </w:p>
    <w:p w14:paraId="1EA49702" w14:textId="4A0CDF51" w:rsidR="006222FE" w:rsidRPr="00FC39D6" w:rsidRDefault="006222FE" w:rsidP="003C5C4F">
      <w:pPr>
        <w:pStyle w:val="HandbookMainText"/>
        <w:jc w:val="left"/>
        <w:rPr>
          <w:rFonts w:ascii="Arial" w:hAnsi="Arial" w:cs="Arial"/>
          <w:lang w:val="en-US"/>
        </w:rPr>
      </w:pPr>
      <w:proofErr w:type="spellStart"/>
      <w:r w:rsidRPr="00FC39D6">
        <w:rPr>
          <w:rFonts w:ascii="Arial" w:hAnsi="Arial" w:cs="Arial"/>
          <w:lang w:val="fr-ML"/>
        </w:rPr>
        <w:t>Bonilla</w:t>
      </w:r>
      <w:proofErr w:type="spellEnd"/>
      <w:r w:rsidRPr="00FC39D6">
        <w:rPr>
          <w:rFonts w:ascii="Arial" w:hAnsi="Arial" w:cs="Arial"/>
          <w:lang w:val="fr-ML"/>
        </w:rPr>
        <w:t xml:space="preserve">, C.C., Doss, C., &amp; Hernandez-de-Benito, M. (2025). </w:t>
      </w:r>
      <w:r w:rsidRPr="00FC39D6">
        <w:rPr>
          <w:rFonts w:ascii="Arial" w:hAnsi="Arial" w:cs="Arial"/>
          <w:lang w:val="en-US"/>
        </w:rPr>
        <w:t xml:space="preserve">The </w:t>
      </w:r>
      <w:proofErr w:type="spellStart"/>
      <w:r w:rsidRPr="00FC39D6">
        <w:rPr>
          <w:rFonts w:ascii="Arial" w:hAnsi="Arial" w:cs="Arial"/>
          <w:lang w:val="en-US"/>
        </w:rPr>
        <w:t>rôle</w:t>
      </w:r>
      <w:proofErr w:type="spellEnd"/>
      <w:r w:rsidRPr="00FC39D6">
        <w:rPr>
          <w:rFonts w:ascii="Arial" w:hAnsi="Arial" w:cs="Arial"/>
          <w:lang w:val="en-US"/>
        </w:rPr>
        <w:t xml:space="preserve"> of enumerator gender beliefs in shaping respondents’ answers. </w:t>
      </w:r>
      <w:r w:rsidRPr="00FC39D6">
        <w:rPr>
          <w:rFonts w:ascii="Arial" w:hAnsi="Arial" w:cs="Arial"/>
          <w:lang w:val="en-US"/>
        </w:rPr>
        <w:t>Presented at the Annual Comparative Survey Design and Implementation Workshop, Skopje, North Macedonia, April 7 – 8.</w:t>
      </w:r>
    </w:p>
    <w:p w14:paraId="643859AD" w14:textId="39196781" w:rsidR="003C5C4F" w:rsidRPr="00FC39D6" w:rsidRDefault="003C5C4F" w:rsidP="003C5C4F">
      <w:pPr>
        <w:pStyle w:val="HandbookMainText"/>
        <w:jc w:val="left"/>
        <w:rPr>
          <w:rFonts w:ascii="Arial" w:hAnsi="Arial" w:cs="Arial"/>
        </w:rPr>
      </w:pPr>
      <w:r w:rsidRPr="00FC39D6">
        <w:rPr>
          <w:rFonts w:ascii="Arial" w:hAnsi="Arial" w:cs="Arial"/>
          <w:lang w:val="en-US"/>
        </w:rPr>
        <w:t xml:space="preserve">Dorer, Brita. </w:t>
      </w:r>
      <w:r w:rsidRPr="00FC39D6">
        <w:rPr>
          <w:rFonts w:ascii="Arial" w:hAnsi="Arial" w:cs="Arial"/>
        </w:rPr>
        <w:t>2020. Advance translation as a means of improving source questionnaire translatability? Findings from a think-aloud study for French and German. Berlin: Frank &amp; Timme.</w:t>
      </w:r>
    </w:p>
    <w:p w14:paraId="60D524D4" w14:textId="77777777" w:rsidR="003C5C4F" w:rsidRPr="00FC39D6" w:rsidRDefault="003C5C4F" w:rsidP="003C5C4F">
      <w:pPr>
        <w:pStyle w:val="HandbookMainText"/>
        <w:jc w:val="left"/>
        <w:rPr>
          <w:rFonts w:ascii="Arial" w:hAnsi="Arial" w:cs="Arial"/>
        </w:rPr>
      </w:pPr>
      <w:r w:rsidRPr="00FC39D6">
        <w:rPr>
          <w:rFonts w:ascii="Arial" w:hAnsi="Arial" w:cs="Arial"/>
        </w:rPr>
        <w:lastRenderedPageBreak/>
        <w:t xml:space="preserve">Dorer, Brita. 2023. "Advance translation: The remedy to improve translatability of source questionnaires? Results of a think-aloud study." Field Methods 35 (1): 33–47. </w:t>
      </w:r>
      <w:proofErr w:type="spellStart"/>
      <w:r w:rsidRPr="00FC39D6">
        <w:rPr>
          <w:rFonts w:ascii="Arial" w:hAnsi="Arial" w:cs="Arial"/>
        </w:rPr>
        <w:t>doi</w:t>
      </w:r>
      <w:proofErr w:type="spellEnd"/>
      <w:r w:rsidRPr="00FC39D6">
        <w:rPr>
          <w:rFonts w:ascii="Arial" w:hAnsi="Arial" w:cs="Arial"/>
        </w:rPr>
        <w:t xml:space="preserve">: </w:t>
      </w:r>
      <w:hyperlink r:id="rId8">
        <w:r w:rsidRPr="00FC39D6">
          <w:rPr>
            <w:rFonts w:ascii="Arial" w:hAnsi="Arial" w:cs="Arial"/>
            <w:color w:val="1155CC"/>
          </w:rPr>
          <w:t>https://doi.org/10.1177/1525822X211072343</w:t>
        </w:r>
      </w:hyperlink>
      <w:r w:rsidRPr="00FC39D6">
        <w:rPr>
          <w:rFonts w:ascii="Arial" w:hAnsi="Arial" w:cs="Arial"/>
        </w:rPr>
        <w:t>.</w:t>
      </w:r>
    </w:p>
    <w:p w14:paraId="19C7F9AA" w14:textId="5285D6F8" w:rsidR="0008180B" w:rsidRPr="00FC39D6" w:rsidRDefault="0008180B" w:rsidP="00BD51AD">
      <w:pPr>
        <w:pStyle w:val="HandbookMainText"/>
        <w:jc w:val="left"/>
        <w:rPr>
          <w:rFonts w:ascii="Arial" w:hAnsi="Arial" w:cs="Arial"/>
          <w:lang w:val="en-US"/>
        </w:rPr>
      </w:pPr>
      <w:r w:rsidRPr="00FC39D6">
        <w:rPr>
          <w:rFonts w:ascii="Arial" w:hAnsi="Arial" w:cs="Arial"/>
          <w:lang w:val="en-US"/>
        </w:rPr>
        <w:t xml:space="preserve">Doss, C., </w:t>
      </w:r>
      <w:proofErr w:type="spellStart"/>
      <w:r w:rsidRPr="00FC39D6">
        <w:rPr>
          <w:rFonts w:ascii="Arial" w:hAnsi="Arial" w:cs="Arial"/>
          <w:lang w:val="en-US"/>
        </w:rPr>
        <w:t>Hasanbasri</w:t>
      </w:r>
      <w:proofErr w:type="spellEnd"/>
      <w:r w:rsidRPr="00FC39D6">
        <w:rPr>
          <w:rFonts w:ascii="Arial" w:hAnsi="Arial" w:cs="Arial"/>
          <w:lang w:val="en-US"/>
        </w:rPr>
        <w:t xml:space="preserve">, A., Moylan, H., Hillesland, M., </w:t>
      </w:r>
      <w:proofErr w:type="spellStart"/>
      <w:r w:rsidRPr="00FC39D6">
        <w:rPr>
          <w:rFonts w:ascii="Arial" w:hAnsi="Arial" w:cs="Arial"/>
          <w:lang w:val="en-US"/>
        </w:rPr>
        <w:t>Hanandez</w:t>
      </w:r>
      <w:proofErr w:type="spellEnd"/>
      <w:r w:rsidRPr="00FC39D6">
        <w:rPr>
          <w:rFonts w:ascii="Arial" w:hAnsi="Arial" w:cs="Arial"/>
          <w:lang w:val="en-US"/>
        </w:rPr>
        <w:t xml:space="preserve">-de-Benito, M. (2025). Validating survey vignettes that measure ownership and control over assets. </w:t>
      </w:r>
      <w:r w:rsidRPr="00FC39D6">
        <w:rPr>
          <w:rFonts w:ascii="Arial" w:hAnsi="Arial" w:cs="Arial"/>
          <w:lang w:val="en-US"/>
        </w:rPr>
        <w:t>Presented at the Annual Comparative Survey Design and Implementation Workshop, Skopje, North Macedonia, April 7 – 8.</w:t>
      </w:r>
    </w:p>
    <w:p w14:paraId="20148A81" w14:textId="63BE6224" w:rsidR="00BD51AD" w:rsidRPr="00FC39D6" w:rsidRDefault="00BD51AD" w:rsidP="00BD51AD">
      <w:pPr>
        <w:pStyle w:val="HandbookMainText"/>
        <w:jc w:val="left"/>
        <w:rPr>
          <w:rFonts w:ascii="Arial" w:hAnsi="Arial" w:cs="Arial"/>
        </w:rPr>
      </w:pPr>
      <w:r w:rsidRPr="00FC39D6">
        <w:rPr>
          <w:rFonts w:ascii="Arial" w:hAnsi="Arial" w:cs="Arial"/>
        </w:rPr>
        <w:t>Fowler, S., &amp; B. Willis, G. (2019). The practice of cognitive interviewing through web probing. </w:t>
      </w:r>
      <w:r w:rsidRPr="00FC39D6">
        <w:rPr>
          <w:rFonts w:ascii="Arial" w:hAnsi="Arial" w:cs="Arial"/>
          <w:i/>
        </w:rPr>
        <w:t>Advances in questionnaire design, development, evaluation and testing</w:t>
      </w:r>
      <w:r w:rsidRPr="00FC39D6">
        <w:rPr>
          <w:rFonts w:ascii="Arial" w:hAnsi="Arial" w:cs="Arial"/>
        </w:rPr>
        <w:t>, 451-469.</w:t>
      </w:r>
    </w:p>
    <w:p w14:paraId="239E359A" w14:textId="77777777" w:rsidR="00A55990" w:rsidRPr="00FC39D6" w:rsidRDefault="00A55990" w:rsidP="00A55990">
      <w:pPr>
        <w:pStyle w:val="HandbookMainText"/>
        <w:jc w:val="left"/>
        <w:rPr>
          <w:rFonts w:ascii="Arial" w:hAnsi="Arial" w:cs="Arial"/>
        </w:rPr>
      </w:pPr>
      <w:r w:rsidRPr="00FC39D6">
        <w:rPr>
          <w:rFonts w:ascii="Arial" w:hAnsi="Arial" w:cs="Arial"/>
        </w:rPr>
        <w:t>Geisen, E., &amp; Murphy, J. (2019). A compendium of web and mobile survey pretesting methods. </w:t>
      </w:r>
      <w:r w:rsidRPr="00FC39D6">
        <w:rPr>
          <w:rFonts w:ascii="Arial" w:hAnsi="Arial" w:cs="Arial"/>
          <w:i/>
        </w:rPr>
        <w:t>Advances in questionnaire design, development, evaluation and testing</w:t>
      </w:r>
      <w:r w:rsidRPr="00FC39D6">
        <w:rPr>
          <w:rFonts w:ascii="Arial" w:hAnsi="Arial" w:cs="Arial"/>
        </w:rPr>
        <w:t>, 287-314.</w:t>
      </w:r>
    </w:p>
    <w:p w14:paraId="1E9C8F18" w14:textId="77777777" w:rsidR="00E13046" w:rsidRPr="00FC39D6" w:rsidRDefault="00E13046" w:rsidP="0007479A">
      <w:pPr>
        <w:pStyle w:val="HandbookMainText"/>
        <w:rPr>
          <w:rFonts w:ascii="Arial" w:hAnsi="Arial" w:cs="Arial"/>
          <w:lang w:val="en-US"/>
        </w:rPr>
      </w:pPr>
      <w:r w:rsidRPr="00FC39D6">
        <w:rPr>
          <w:rFonts w:ascii="Arial" w:hAnsi="Arial" w:cs="Arial"/>
          <w:lang w:val="en-US"/>
        </w:rPr>
        <w:t xml:space="preserve">Groves, R. M. (2004), </w:t>
      </w:r>
      <w:r w:rsidRPr="00FC39D6">
        <w:rPr>
          <w:rFonts w:ascii="Arial" w:hAnsi="Arial" w:cs="Arial"/>
          <w:i/>
          <w:lang w:val="en-US"/>
        </w:rPr>
        <w:t xml:space="preserve">Survey errors and survey costs </w:t>
      </w:r>
      <w:r w:rsidRPr="00FC39D6">
        <w:rPr>
          <w:rFonts w:ascii="Arial" w:hAnsi="Arial" w:cs="Arial"/>
          <w:lang w:val="en-US"/>
        </w:rPr>
        <w:t xml:space="preserve">(Vol. 536), John Wiley &amp; Sons. </w:t>
      </w:r>
    </w:p>
    <w:p w14:paraId="0092EDB0" w14:textId="68AF0D42" w:rsidR="0007479A" w:rsidRPr="0007479A" w:rsidRDefault="0007479A" w:rsidP="0007479A">
      <w:pPr>
        <w:pStyle w:val="HandbookMainText"/>
        <w:rPr>
          <w:rFonts w:ascii="Arial" w:hAnsi="Arial" w:cs="Arial"/>
          <w:lang w:val="en-US"/>
        </w:rPr>
      </w:pPr>
      <w:r w:rsidRPr="0007479A">
        <w:rPr>
          <w:rFonts w:ascii="Arial" w:hAnsi="Arial" w:cs="Arial"/>
          <w:lang w:val="en-US"/>
        </w:rPr>
        <w:t xml:space="preserve">Groves, R.M., Fowler, F. J., Couper, M. P., Lepkowski, J. M., Singer, E., &amp; Tourangeau, R. (2009). </w:t>
      </w:r>
      <w:r w:rsidRPr="0007479A">
        <w:rPr>
          <w:rFonts w:ascii="Arial" w:hAnsi="Arial" w:cs="Arial"/>
          <w:i/>
          <w:lang w:val="en-US"/>
        </w:rPr>
        <w:t>Survey methodology</w:t>
      </w:r>
      <w:r w:rsidRPr="0007479A">
        <w:rPr>
          <w:rFonts w:ascii="Arial" w:hAnsi="Arial" w:cs="Arial"/>
          <w:lang w:val="en-US"/>
        </w:rPr>
        <w:t>. John Wiley &amp; Sons Inc.</w:t>
      </w:r>
    </w:p>
    <w:p w14:paraId="7582F590" w14:textId="77777777" w:rsidR="001E7C58" w:rsidRPr="00FC39D6" w:rsidRDefault="001E7C58" w:rsidP="001E7C58">
      <w:pPr>
        <w:pStyle w:val="HandbookMainText"/>
        <w:jc w:val="left"/>
        <w:rPr>
          <w:rFonts w:ascii="Arial" w:hAnsi="Arial" w:cs="Arial"/>
        </w:rPr>
      </w:pPr>
      <w:r w:rsidRPr="00FC39D6">
        <w:rPr>
          <w:rFonts w:ascii="Arial" w:hAnsi="Arial" w:cs="Arial"/>
        </w:rPr>
        <w:t xml:space="preserve">Harkness, J. A., Edwards, B., Hansen, S. E., Miller, D. R., &amp; Villar, A. (2010a). Designing questionnaires for </w:t>
      </w:r>
      <w:proofErr w:type="spellStart"/>
      <w:r w:rsidRPr="00FC39D6">
        <w:rPr>
          <w:rFonts w:ascii="Arial" w:hAnsi="Arial" w:cs="Arial"/>
        </w:rPr>
        <w:t>multipopulation</w:t>
      </w:r>
      <w:proofErr w:type="spellEnd"/>
      <w:r w:rsidRPr="00FC39D6">
        <w:rPr>
          <w:rFonts w:ascii="Arial" w:hAnsi="Arial" w:cs="Arial"/>
        </w:rPr>
        <w:t xml:space="preserve"> research. In J. A. Harkness, M. Braun, B. Edwards, T. P. Johnson, L. Lyberg, P. P. Mohler, B.-E. Pennell, &amp; T. Smith (Eds.). Survey methods in multinational, multiregional, and multicultural contexts (pp. 31-57). Wiley-Blackwell.</w:t>
      </w:r>
    </w:p>
    <w:p w14:paraId="3C138F4C" w14:textId="77777777" w:rsidR="001E7C58" w:rsidRPr="00FC39D6" w:rsidRDefault="001E7C58" w:rsidP="001E7C58">
      <w:pPr>
        <w:pStyle w:val="HandbookMainText"/>
        <w:jc w:val="left"/>
        <w:rPr>
          <w:rFonts w:ascii="Arial" w:hAnsi="Arial" w:cs="Arial"/>
        </w:rPr>
      </w:pPr>
      <w:r w:rsidRPr="00FC39D6">
        <w:rPr>
          <w:rFonts w:ascii="Arial" w:hAnsi="Arial" w:cs="Arial"/>
        </w:rPr>
        <w:t>Harkness, J. A., Villar, A., &amp; Edwards, B. (2010b). Translation, Adaptation, and Design. In J. A. Harkness, M. Braun, B. Edwards, T. P. Johnson, L. Lyberg, P. P. Mohler, B.-E. Pennell, &amp; T. W. Smith (Eds.), Survey methods in multinational, multiregional, and multicultural contexts (pp. 117-140). Wiley-Blackwell.</w:t>
      </w:r>
    </w:p>
    <w:p w14:paraId="1CDBD29C" w14:textId="77777777" w:rsidR="005140AE" w:rsidRPr="00FC39D6" w:rsidRDefault="005140AE" w:rsidP="005140AE">
      <w:pPr>
        <w:pStyle w:val="HandbookMainText"/>
        <w:jc w:val="left"/>
        <w:rPr>
          <w:rFonts w:ascii="Arial" w:hAnsi="Arial" w:cs="Arial"/>
        </w:rPr>
      </w:pPr>
      <w:r w:rsidRPr="00FC39D6">
        <w:rPr>
          <w:rFonts w:ascii="Arial" w:hAnsi="Arial" w:cs="Arial"/>
        </w:rPr>
        <w:t xml:space="preserve">Ji, L. J., Schwarz, N., &amp; Nisbett, R. E. (2000). Culture, autobiographical memory, and </w:t>
      </w:r>
      <w:proofErr w:type="spellStart"/>
      <w:r w:rsidRPr="00FC39D6">
        <w:rPr>
          <w:rFonts w:ascii="Arial" w:hAnsi="Arial" w:cs="Arial"/>
        </w:rPr>
        <w:t>behavioral</w:t>
      </w:r>
      <w:proofErr w:type="spellEnd"/>
      <w:r w:rsidRPr="00FC39D6">
        <w:rPr>
          <w:rFonts w:ascii="Arial" w:hAnsi="Arial" w:cs="Arial"/>
        </w:rPr>
        <w:t xml:space="preserve"> frequency reports: Measurement issues in cross-cultural studies. </w:t>
      </w:r>
      <w:r w:rsidRPr="00FC39D6">
        <w:rPr>
          <w:rFonts w:ascii="Arial" w:hAnsi="Arial" w:cs="Arial"/>
          <w:i/>
        </w:rPr>
        <w:t>Personality and social psychology bulletin</w:t>
      </w:r>
      <w:r w:rsidRPr="00FC39D6">
        <w:rPr>
          <w:rFonts w:ascii="Arial" w:hAnsi="Arial" w:cs="Arial"/>
        </w:rPr>
        <w:t>, </w:t>
      </w:r>
      <w:r w:rsidRPr="00FC39D6">
        <w:rPr>
          <w:rFonts w:ascii="Arial" w:hAnsi="Arial" w:cs="Arial"/>
          <w:i/>
        </w:rPr>
        <w:t>26</w:t>
      </w:r>
      <w:r w:rsidRPr="00FC39D6">
        <w:rPr>
          <w:rFonts w:ascii="Arial" w:hAnsi="Arial" w:cs="Arial"/>
        </w:rPr>
        <w:t>(5), 585-593.</w:t>
      </w:r>
    </w:p>
    <w:p w14:paraId="2B81DE73" w14:textId="7AC0F13D" w:rsidR="009D3A62" w:rsidRPr="00FC39D6" w:rsidRDefault="00997346" w:rsidP="009D3A62">
      <w:pPr>
        <w:rPr>
          <w:rFonts w:ascii="Arial" w:hAnsi="Arial" w:cs="Arial"/>
        </w:rPr>
      </w:pPr>
      <w:r w:rsidRPr="00FC39D6">
        <w:rPr>
          <w:rFonts w:ascii="Arial" w:hAnsi="Arial" w:cs="Arial"/>
        </w:rPr>
        <w:t>Johnson, T. P., Pennell, B.-E., Stoop, I., &amp; Dorer, B. (Eds.). (2019). Advances in comparative survey methods: Multinational, multiregional and multicultural contexts (3MC). John Wiley &amp; Sons, Inc.</w:t>
      </w:r>
    </w:p>
    <w:p w14:paraId="425A0D01" w14:textId="77777777" w:rsidR="00663923" w:rsidRPr="00FC39D6" w:rsidRDefault="00663923" w:rsidP="00663923">
      <w:pPr>
        <w:pStyle w:val="HandbookMainText"/>
        <w:jc w:val="left"/>
        <w:rPr>
          <w:rFonts w:ascii="Arial" w:hAnsi="Arial" w:cs="Arial"/>
        </w:rPr>
      </w:pPr>
      <w:r w:rsidRPr="00FC39D6">
        <w:rPr>
          <w:rFonts w:ascii="Arial" w:hAnsi="Arial" w:cs="Arial"/>
        </w:rPr>
        <w:t xml:space="preserve">Lalwani, A. K., </w:t>
      </w:r>
      <w:proofErr w:type="spellStart"/>
      <w:r w:rsidRPr="00FC39D6">
        <w:rPr>
          <w:rFonts w:ascii="Arial" w:hAnsi="Arial" w:cs="Arial"/>
        </w:rPr>
        <w:t>Shavitt</w:t>
      </w:r>
      <w:proofErr w:type="spellEnd"/>
      <w:r w:rsidRPr="00FC39D6">
        <w:rPr>
          <w:rFonts w:ascii="Arial" w:hAnsi="Arial" w:cs="Arial"/>
        </w:rPr>
        <w:t xml:space="preserve">, S., &amp; Johnson, T. (2006). What is the relation between cultural orientation and socially desirable responding? </w:t>
      </w:r>
      <w:r w:rsidRPr="00FC39D6">
        <w:rPr>
          <w:rFonts w:ascii="Arial" w:hAnsi="Arial" w:cs="Arial"/>
          <w:i/>
        </w:rPr>
        <w:t>Journal of Personality and Social Psychology</w:t>
      </w:r>
      <w:r w:rsidRPr="00FC39D6">
        <w:rPr>
          <w:rFonts w:ascii="Arial" w:hAnsi="Arial" w:cs="Arial"/>
        </w:rPr>
        <w:t xml:space="preserve">, </w:t>
      </w:r>
      <w:r w:rsidRPr="00FC39D6">
        <w:rPr>
          <w:rFonts w:ascii="Arial" w:hAnsi="Arial" w:cs="Arial"/>
          <w:i/>
        </w:rPr>
        <w:t>90</w:t>
      </w:r>
      <w:r w:rsidRPr="00FC39D6">
        <w:rPr>
          <w:rFonts w:ascii="Arial" w:hAnsi="Arial" w:cs="Arial"/>
        </w:rPr>
        <w:t>(1), 165–178. </w:t>
      </w:r>
    </w:p>
    <w:p w14:paraId="38892595" w14:textId="77777777" w:rsidR="00561C81" w:rsidRPr="00561C81" w:rsidRDefault="00561C81" w:rsidP="00561C81">
      <w:pPr>
        <w:rPr>
          <w:rFonts w:ascii="Arial" w:hAnsi="Arial" w:cs="Arial"/>
        </w:rPr>
      </w:pPr>
      <w:r w:rsidRPr="00561C81">
        <w:rPr>
          <w:rFonts w:ascii="Arial" w:hAnsi="Arial" w:cs="Arial"/>
        </w:rPr>
        <w:t xml:space="preserve">Lyberg, L. E., &amp; Biemer, P. P. (2008), Quality assurance and quality control in surveys. In E. D. de Leeuw, J. J. Hox, &amp; D. A. Dillman (Eds.), </w:t>
      </w:r>
      <w:r w:rsidRPr="00561C81">
        <w:rPr>
          <w:rFonts w:ascii="Arial" w:hAnsi="Arial" w:cs="Arial"/>
          <w:i/>
          <w:iCs/>
        </w:rPr>
        <w:t>International handbook of survey methodology</w:t>
      </w:r>
      <w:r w:rsidRPr="00561C81">
        <w:rPr>
          <w:rFonts w:ascii="Arial" w:hAnsi="Arial" w:cs="Arial"/>
        </w:rPr>
        <w:t xml:space="preserve">. New York/London: Lawrence Erlbaum Associates. </w:t>
      </w:r>
    </w:p>
    <w:p w14:paraId="73B246AE" w14:textId="30AC70D3" w:rsidR="00561C81" w:rsidRPr="00FC39D6" w:rsidRDefault="00561C81" w:rsidP="00561C81">
      <w:pPr>
        <w:rPr>
          <w:rFonts w:ascii="Arial" w:hAnsi="Arial" w:cs="Arial"/>
        </w:rPr>
      </w:pPr>
      <w:r w:rsidRPr="00561C81">
        <w:rPr>
          <w:rFonts w:ascii="Arial" w:hAnsi="Arial" w:cs="Arial"/>
        </w:rPr>
        <w:t xml:space="preserve">Lyberg, L. E., &amp; Stukel, D. M. (2010), Quality assurance and quality control in cross-national comparative studies. In J. A. Harkness, M. Braun, B. Edwards, T. Johnson, L. E. Lyberg, P. Ph. Mohler, </w:t>
      </w:r>
      <w:r w:rsidRPr="00FC39D6">
        <w:rPr>
          <w:rFonts w:ascii="Arial" w:hAnsi="Arial" w:cs="Arial"/>
        </w:rPr>
        <w:t xml:space="preserve">B-E., Pennell &amp; T. W. Smith (Eds.), </w:t>
      </w:r>
      <w:r w:rsidRPr="00FC39D6">
        <w:rPr>
          <w:rFonts w:ascii="Arial" w:hAnsi="Arial" w:cs="Arial"/>
          <w:i/>
          <w:iCs/>
        </w:rPr>
        <w:t xml:space="preserve">Survey methods in multinational, multicultural and multiregional contexts </w:t>
      </w:r>
      <w:r w:rsidRPr="00FC39D6">
        <w:rPr>
          <w:rFonts w:ascii="Arial" w:hAnsi="Arial" w:cs="Arial"/>
        </w:rPr>
        <w:t xml:space="preserve">(pp. 227-249), Hoboken, NJ: John Wiley &amp; Sons. </w:t>
      </w:r>
    </w:p>
    <w:p w14:paraId="3EBF7A93" w14:textId="77777777" w:rsidR="00357E23" w:rsidRPr="00FC39D6" w:rsidRDefault="00357E23" w:rsidP="00E16E45">
      <w:pPr>
        <w:pStyle w:val="HandbookMainText"/>
        <w:jc w:val="left"/>
        <w:rPr>
          <w:rFonts w:ascii="Arial" w:hAnsi="Arial" w:cs="Arial"/>
          <w:lang w:val="en-US"/>
        </w:rPr>
      </w:pPr>
      <w:proofErr w:type="spellStart"/>
      <w:r w:rsidRPr="00FC39D6">
        <w:rPr>
          <w:rFonts w:ascii="Arial" w:hAnsi="Arial" w:cs="Arial"/>
          <w:lang w:val="en-US"/>
        </w:rPr>
        <w:lastRenderedPageBreak/>
        <w:t>Mneimneh</w:t>
      </w:r>
      <w:proofErr w:type="spellEnd"/>
      <w:r w:rsidRPr="00FC39D6">
        <w:rPr>
          <w:rFonts w:ascii="Arial" w:hAnsi="Arial" w:cs="Arial"/>
          <w:lang w:val="en-US"/>
        </w:rPr>
        <w:t xml:space="preserve">, Zeina N., Elliott, M. R., Tourangeau, R., &amp; Heeringa, S. G. (2018). Cultural and Interviewer Effects on Interview Privacy: Individualism and National Wealth. </w:t>
      </w:r>
      <w:r w:rsidRPr="00FC39D6">
        <w:rPr>
          <w:rFonts w:ascii="Arial" w:hAnsi="Arial" w:cs="Arial"/>
          <w:i/>
          <w:lang w:val="en-US"/>
        </w:rPr>
        <w:t>Cross-Cultural Research</w:t>
      </w:r>
      <w:r w:rsidRPr="00FC39D6">
        <w:rPr>
          <w:rFonts w:ascii="Arial" w:hAnsi="Arial" w:cs="Arial"/>
          <w:lang w:val="en-US"/>
        </w:rPr>
        <w:t xml:space="preserve">, </w:t>
      </w:r>
      <w:r w:rsidRPr="00FC39D6">
        <w:rPr>
          <w:rFonts w:ascii="Arial" w:hAnsi="Arial" w:cs="Arial"/>
          <w:i/>
          <w:lang w:val="en-US"/>
        </w:rPr>
        <w:t>52</w:t>
      </w:r>
      <w:r w:rsidRPr="00FC39D6">
        <w:rPr>
          <w:rFonts w:ascii="Arial" w:hAnsi="Arial" w:cs="Arial"/>
          <w:lang w:val="en-US"/>
        </w:rPr>
        <w:t>(5), 496–523.</w:t>
      </w:r>
    </w:p>
    <w:p w14:paraId="5A0F7840" w14:textId="40B6C565" w:rsidR="00E16E45" w:rsidRPr="00FC39D6" w:rsidRDefault="00424406" w:rsidP="00E16E45">
      <w:pPr>
        <w:pStyle w:val="HandbookMainText"/>
        <w:jc w:val="left"/>
        <w:rPr>
          <w:rFonts w:ascii="Arial" w:hAnsi="Arial" w:cs="Arial"/>
          <w:lang w:val="en-US"/>
        </w:rPr>
      </w:pPr>
      <w:r w:rsidRPr="00FC39D6">
        <w:rPr>
          <w:rFonts w:ascii="Arial" w:hAnsi="Arial" w:cs="Arial"/>
        </w:rPr>
        <w:t>Nkong, U.  Behr, D. (2025). Comparing professional translators and social scientists</w:t>
      </w:r>
      <w:r w:rsidR="00E16E45" w:rsidRPr="00FC39D6">
        <w:rPr>
          <w:rFonts w:ascii="Arial" w:hAnsi="Arial" w:cs="Arial"/>
        </w:rPr>
        <w:t xml:space="preserve">. </w:t>
      </w:r>
      <w:r w:rsidR="00E16E45" w:rsidRPr="00FC39D6">
        <w:rPr>
          <w:rFonts w:ascii="Arial" w:hAnsi="Arial" w:cs="Arial"/>
          <w:lang w:val="en-US"/>
        </w:rPr>
        <w:t>Presented at the Annual Comparative Survey Design and Implementation Workshop, Skopje, North Macedonia, April 7 – 8.</w:t>
      </w:r>
    </w:p>
    <w:p w14:paraId="3D3E8BD2" w14:textId="77777777" w:rsidR="003D1F0C" w:rsidRPr="00FC39D6" w:rsidRDefault="003D1F0C" w:rsidP="003D1F0C">
      <w:pPr>
        <w:pStyle w:val="HandbookMainText"/>
        <w:jc w:val="left"/>
        <w:rPr>
          <w:rFonts w:ascii="Arial" w:hAnsi="Arial" w:cs="Arial"/>
        </w:rPr>
      </w:pPr>
      <w:r w:rsidRPr="00FC39D6">
        <w:rPr>
          <w:rFonts w:ascii="Arial" w:hAnsi="Arial" w:cs="Arial"/>
        </w:rPr>
        <w:t>Nichols, E., Olmsted</w:t>
      </w:r>
      <w:r w:rsidRPr="00FC39D6">
        <w:rPr>
          <w:rFonts w:ascii="Cambria Math" w:eastAsia="Cambria Math" w:hAnsi="Cambria Math" w:cs="Cambria Math"/>
        </w:rPr>
        <w:t>‐</w:t>
      </w:r>
      <w:r w:rsidRPr="00FC39D6">
        <w:rPr>
          <w:rFonts w:ascii="Arial" w:hAnsi="Arial" w:cs="Arial"/>
        </w:rPr>
        <w:t xml:space="preserve">Hawala, E., Holland, T., &amp; Riemer, A. A. (2019). Usability Testing Online Questionnaires: Experiences at the US C </w:t>
      </w:r>
      <w:proofErr w:type="spellStart"/>
      <w:r w:rsidRPr="00FC39D6">
        <w:rPr>
          <w:rFonts w:ascii="Arial" w:hAnsi="Arial" w:cs="Arial"/>
        </w:rPr>
        <w:t>ensus</w:t>
      </w:r>
      <w:proofErr w:type="spellEnd"/>
      <w:r w:rsidRPr="00FC39D6">
        <w:rPr>
          <w:rFonts w:ascii="Arial" w:hAnsi="Arial" w:cs="Arial"/>
        </w:rPr>
        <w:t xml:space="preserve"> B </w:t>
      </w:r>
      <w:proofErr w:type="spellStart"/>
      <w:r w:rsidRPr="00FC39D6">
        <w:rPr>
          <w:rFonts w:ascii="Arial" w:hAnsi="Arial" w:cs="Arial"/>
        </w:rPr>
        <w:t>ureau</w:t>
      </w:r>
      <w:proofErr w:type="spellEnd"/>
      <w:r w:rsidRPr="00FC39D6">
        <w:rPr>
          <w:rFonts w:ascii="Arial" w:hAnsi="Arial" w:cs="Arial"/>
        </w:rPr>
        <w:t>. </w:t>
      </w:r>
      <w:r w:rsidRPr="00FC39D6">
        <w:rPr>
          <w:rFonts w:ascii="Arial" w:hAnsi="Arial" w:cs="Arial"/>
          <w:i/>
        </w:rPr>
        <w:t>Advances in Questionnaire Design, Development, Evaluation and Testing</w:t>
      </w:r>
      <w:r w:rsidRPr="00FC39D6">
        <w:rPr>
          <w:rFonts w:ascii="Arial" w:hAnsi="Arial" w:cs="Arial"/>
        </w:rPr>
        <w:t>, 315-348.</w:t>
      </w:r>
    </w:p>
    <w:p w14:paraId="7183CDC9" w14:textId="01329F7E" w:rsidR="00132F78" w:rsidRPr="00FC39D6" w:rsidRDefault="00132F78" w:rsidP="00561C81">
      <w:pPr>
        <w:rPr>
          <w:rFonts w:ascii="Arial" w:hAnsi="Arial" w:cs="Arial"/>
        </w:rPr>
      </w:pPr>
      <w:r w:rsidRPr="00FC39D6">
        <w:rPr>
          <w:rFonts w:ascii="Arial" w:hAnsi="Arial" w:cs="Arial"/>
        </w:rPr>
        <w:t xml:space="preserve">Pennell, B.-E., Cibelli Hibben, K. L., Lyberg, L., Mohler, P. Ph., &amp; Worku, G. (2017). A Total Survey Error perspective on surveys in multinational, multiregional, and multicultural contexts. In P. Biemer, E. De Leeuw, S. Eckman, B. Edwards, F. Kreuter, L. Lyberg, C. Tucker, &amp; B. T. West (Eds.), </w:t>
      </w:r>
      <w:r w:rsidRPr="00FC39D6">
        <w:rPr>
          <w:rFonts w:ascii="Arial" w:hAnsi="Arial" w:cs="Arial"/>
          <w:i/>
          <w:iCs/>
        </w:rPr>
        <w:t>Total survey error in practice</w:t>
      </w:r>
      <w:r w:rsidRPr="00FC39D6">
        <w:rPr>
          <w:rFonts w:ascii="Arial" w:hAnsi="Arial" w:cs="Arial"/>
        </w:rPr>
        <w:t>. John Wiley &amp; Sons Inc.</w:t>
      </w:r>
    </w:p>
    <w:p w14:paraId="4E7DDDA9" w14:textId="77777777" w:rsidR="00F14832" w:rsidRPr="00FC39D6" w:rsidRDefault="00F14832" w:rsidP="00F14832">
      <w:pPr>
        <w:pStyle w:val="HandbookMainText"/>
        <w:jc w:val="left"/>
        <w:rPr>
          <w:rFonts w:ascii="Arial" w:hAnsi="Arial" w:cs="Arial"/>
        </w:rPr>
      </w:pPr>
      <w:proofErr w:type="spellStart"/>
      <w:r w:rsidRPr="00FC39D6">
        <w:rPr>
          <w:rFonts w:ascii="Arial" w:hAnsi="Arial" w:cs="Arial"/>
        </w:rPr>
        <w:t>Peytcheva</w:t>
      </w:r>
      <w:proofErr w:type="spellEnd"/>
      <w:r w:rsidRPr="00FC39D6">
        <w:rPr>
          <w:rFonts w:ascii="Arial" w:hAnsi="Arial" w:cs="Arial"/>
        </w:rPr>
        <w:t xml:space="preserve">, E. (2020). The Effect of Language of Survey Administration on the Response Formation Processes. In M. Sha &amp; T. Gabel (Eds.), </w:t>
      </w:r>
      <w:r w:rsidRPr="00FC39D6">
        <w:rPr>
          <w:rFonts w:ascii="Arial" w:hAnsi="Arial" w:cs="Arial"/>
          <w:i/>
        </w:rPr>
        <w:t>The essential role of language in survey research</w:t>
      </w:r>
      <w:r w:rsidRPr="00FC39D6">
        <w:rPr>
          <w:rFonts w:ascii="Arial" w:hAnsi="Arial" w:cs="Arial"/>
        </w:rPr>
        <w:t>. </w:t>
      </w:r>
    </w:p>
    <w:p w14:paraId="3A51B1BD" w14:textId="77777777" w:rsidR="00B8073E" w:rsidRPr="00FC39D6" w:rsidRDefault="00B8073E" w:rsidP="00B8073E">
      <w:pPr>
        <w:pStyle w:val="HandbookMainText"/>
        <w:jc w:val="left"/>
        <w:rPr>
          <w:rFonts w:ascii="Arial" w:hAnsi="Arial" w:cs="Arial"/>
        </w:rPr>
      </w:pPr>
      <w:r w:rsidRPr="00FC39D6">
        <w:rPr>
          <w:rFonts w:ascii="Arial" w:hAnsi="Arial" w:cs="Arial"/>
        </w:rPr>
        <w:t>Scanlon, P. (2019). Using targeted embedded probes to quantify cognitive interviewing findings. </w:t>
      </w:r>
      <w:r w:rsidRPr="00FC39D6">
        <w:rPr>
          <w:rFonts w:ascii="Arial" w:hAnsi="Arial" w:cs="Arial"/>
          <w:i/>
        </w:rPr>
        <w:t>Advances in questionnaire design, development, evaluation and testing</w:t>
      </w:r>
      <w:r w:rsidRPr="00FC39D6">
        <w:rPr>
          <w:rFonts w:ascii="Arial" w:hAnsi="Arial" w:cs="Arial"/>
        </w:rPr>
        <w:t>, 427-449.</w:t>
      </w:r>
    </w:p>
    <w:p w14:paraId="697834D0" w14:textId="77777777" w:rsidR="00197AB7" w:rsidRPr="00FC39D6" w:rsidRDefault="00197AB7" w:rsidP="00197AB7">
      <w:pPr>
        <w:pStyle w:val="HandbookMainText"/>
        <w:jc w:val="left"/>
        <w:rPr>
          <w:rFonts w:ascii="Arial" w:hAnsi="Arial" w:cs="Arial"/>
        </w:rPr>
      </w:pPr>
      <w:r w:rsidRPr="00FC39D6">
        <w:rPr>
          <w:rFonts w:ascii="Arial" w:hAnsi="Arial" w:cs="Arial"/>
        </w:rPr>
        <w:t xml:space="preserve">Schwarz, N., </w:t>
      </w:r>
      <w:proofErr w:type="spellStart"/>
      <w:r w:rsidRPr="00FC39D6">
        <w:rPr>
          <w:rFonts w:ascii="Arial" w:hAnsi="Arial" w:cs="Arial"/>
        </w:rPr>
        <w:t>Oyserman</w:t>
      </w:r>
      <w:proofErr w:type="spellEnd"/>
      <w:r w:rsidRPr="00FC39D6">
        <w:rPr>
          <w:rFonts w:ascii="Arial" w:hAnsi="Arial" w:cs="Arial"/>
        </w:rPr>
        <w:t xml:space="preserve">, D., &amp; </w:t>
      </w:r>
      <w:proofErr w:type="spellStart"/>
      <w:r w:rsidRPr="00FC39D6">
        <w:rPr>
          <w:rFonts w:ascii="Arial" w:hAnsi="Arial" w:cs="Arial"/>
        </w:rPr>
        <w:t>Peytcheva</w:t>
      </w:r>
      <w:proofErr w:type="spellEnd"/>
      <w:r w:rsidRPr="00FC39D6">
        <w:rPr>
          <w:rFonts w:ascii="Arial" w:hAnsi="Arial" w:cs="Arial"/>
        </w:rPr>
        <w:t xml:space="preserve">, E. (2010). Cognition, communication, and culture: Implications for the survey response process. In J.A. Harkness, M. Braun, B. Edwards, T. P. Johnson, L. Lyberg, P. Ph. Mohler, B.-E. Pennell, &amp; T. W. Smith (Eds.), </w:t>
      </w:r>
      <w:r w:rsidRPr="00FC39D6">
        <w:rPr>
          <w:rFonts w:ascii="Arial" w:hAnsi="Arial" w:cs="Arial"/>
          <w:i/>
        </w:rPr>
        <w:t>Survey methods in multinational, multiregional, and multicultural contexts</w:t>
      </w:r>
      <w:r w:rsidRPr="00FC39D6">
        <w:rPr>
          <w:rFonts w:ascii="Arial" w:hAnsi="Arial" w:cs="Arial"/>
        </w:rPr>
        <w:t xml:space="preserve"> (pp. 175–190). John Wiley &amp; Sons, Inc.</w:t>
      </w:r>
    </w:p>
    <w:p w14:paraId="26A846E9" w14:textId="2A45B287" w:rsidR="002B0535" w:rsidRPr="00FC39D6" w:rsidRDefault="0077297F">
      <w:pPr>
        <w:rPr>
          <w:rFonts w:ascii="Arial" w:hAnsi="Arial" w:cs="Arial"/>
        </w:rPr>
      </w:pPr>
      <w:r w:rsidRPr="00FC39D6">
        <w:rPr>
          <w:rFonts w:ascii="Arial" w:hAnsi="Arial" w:cs="Arial"/>
        </w:rPr>
        <w:t>Smith, T</w:t>
      </w:r>
      <w:r w:rsidRPr="00FC39D6">
        <w:rPr>
          <w:rFonts w:ascii="Arial" w:hAnsi="Arial" w:cs="Arial"/>
        </w:rPr>
        <w:t xml:space="preserve">. (2010). </w:t>
      </w:r>
      <w:r w:rsidR="0011768D" w:rsidRPr="00FC39D6">
        <w:rPr>
          <w:rFonts w:ascii="Arial" w:hAnsi="Arial" w:cs="Arial"/>
        </w:rPr>
        <w:t>The globalization of survey research</w:t>
      </w:r>
      <w:r w:rsidRPr="00FC39D6">
        <w:rPr>
          <w:rFonts w:ascii="Arial" w:hAnsi="Arial" w:cs="Arial"/>
        </w:rPr>
        <w:t xml:space="preserve">. In J.A. Harkness, M. Braun, B. Edwards, T. P. Johnson, L. Lyberg, P. Ph. Mohler, B.-E. Pennell, &amp; T. W. Smith (Eds.), </w:t>
      </w:r>
      <w:r w:rsidRPr="00FC39D6">
        <w:rPr>
          <w:rFonts w:ascii="Arial" w:hAnsi="Arial" w:cs="Arial"/>
          <w:i/>
          <w:iCs/>
        </w:rPr>
        <w:t>Survey methods in multinational, multiregional, and multicultural contexts</w:t>
      </w:r>
      <w:r w:rsidRPr="00FC39D6">
        <w:rPr>
          <w:rFonts w:ascii="Arial" w:hAnsi="Arial" w:cs="Arial"/>
        </w:rPr>
        <w:t xml:space="preserve"> (pp. </w:t>
      </w:r>
      <w:r w:rsidR="00FC49E5" w:rsidRPr="00FC39D6">
        <w:rPr>
          <w:rFonts w:ascii="Arial" w:hAnsi="Arial" w:cs="Arial"/>
        </w:rPr>
        <w:t>477-484</w:t>
      </w:r>
      <w:r w:rsidRPr="00FC39D6">
        <w:rPr>
          <w:rFonts w:ascii="Arial" w:hAnsi="Arial" w:cs="Arial"/>
        </w:rPr>
        <w:t>). John Wiley &amp; Sons, Inc.</w:t>
      </w:r>
    </w:p>
    <w:p w14:paraId="42CCAD6A" w14:textId="050D88C1" w:rsidR="00132F78" w:rsidRPr="00FC39D6" w:rsidRDefault="00132F78">
      <w:pPr>
        <w:rPr>
          <w:rFonts w:ascii="Arial" w:hAnsi="Arial" w:cs="Arial"/>
        </w:rPr>
      </w:pPr>
      <w:r w:rsidRPr="00FC39D6">
        <w:rPr>
          <w:rFonts w:ascii="Arial" w:hAnsi="Arial" w:cs="Arial"/>
        </w:rPr>
        <w:t xml:space="preserve">Smith, T.W. (2011). Refining the total survey error perspective. </w:t>
      </w:r>
      <w:r w:rsidRPr="00FC39D6">
        <w:rPr>
          <w:rFonts w:ascii="Arial" w:hAnsi="Arial" w:cs="Arial"/>
          <w:i/>
          <w:iCs/>
        </w:rPr>
        <w:t>International Journal of Public Opinion Research</w:t>
      </w:r>
      <w:r w:rsidRPr="00FC39D6">
        <w:rPr>
          <w:rFonts w:ascii="Arial" w:hAnsi="Arial" w:cs="Arial"/>
        </w:rPr>
        <w:t>, 464–484.</w:t>
      </w:r>
    </w:p>
    <w:p w14:paraId="68AE81D6" w14:textId="6CC474B6" w:rsidR="00CB7980" w:rsidRPr="00FC39D6" w:rsidRDefault="00CB7980" w:rsidP="00F1522F">
      <w:pPr>
        <w:pStyle w:val="HandbookMainText"/>
        <w:jc w:val="left"/>
        <w:rPr>
          <w:rFonts w:ascii="Arial" w:hAnsi="Arial" w:cs="Arial"/>
          <w:lang w:val="en-US"/>
        </w:rPr>
      </w:pPr>
      <w:r w:rsidRPr="00FC39D6">
        <w:rPr>
          <w:rFonts w:ascii="Arial" w:hAnsi="Arial" w:cs="Arial"/>
          <w:lang w:val="en-US"/>
        </w:rPr>
        <w:t>Survey Research Center. (2016). </w:t>
      </w:r>
      <w:r w:rsidRPr="00FC39D6">
        <w:rPr>
          <w:rFonts w:ascii="Arial" w:hAnsi="Arial" w:cs="Arial"/>
          <w:i/>
          <w:lang w:val="en-US"/>
        </w:rPr>
        <w:t>Guidelines for Best Practice in Cross-Cultural Surveys</w:t>
      </w:r>
      <w:r w:rsidRPr="00FC39D6">
        <w:rPr>
          <w:rFonts w:ascii="Arial" w:hAnsi="Arial" w:cs="Arial"/>
          <w:lang w:val="en-US"/>
        </w:rPr>
        <w:t>. Ann Arbor, MI: Survey Research Center, Institute for Social Research, University of Michigan</w:t>
      </w:r>
      <w:r w:rsidRPr="00FC39D6">
        <w:rPr>
          <w:rFonts w:ascii="Arial" w:hAnsi="Arial" w:cs="Arial"/>
          <w:lang w:val="en-US"/>
        </w:rPr>
        <w:t>.</w:t>
      </w:r>
      <w:r w:rsidRPr="00FC39D6">
        <w:rPr>
          <w:rFonts w:ascii="Arial" w:hAnsi="Arial" w:cs="Arial"/>
          <w:lang w:val="en-US"/>
        </w:rPr>
        <w:t> </w:t>
      </w:r>
      <w:hyperlink r:id="rId9" w:tgtFrame="_blank" w:history="1">
        <w:r w:rsidRPr="00FC39D6">
          <w:rPr>
            <w:rStyle w:val="Hyperlink"/>
            <w:rFonts w:ascii="Arial" w:hAnsi="Arial" w:cs="Arial"/>
            <w:lang w:val="en-US"/>
          </w:rPr>
          <w:t>http://ccsg.isr.umich.edu/</w:t>
        </w:r>
      </w:hyperlink>
      <w:r w:rsidRPr="00FC39D6">
        <w:rPr>
          <w:rFonts w:ascii="Arial" w:hAnsi="Arial" w:cs="Arial"/>
          <w:lang w:val="en-US"/>
        </w:rPr>
        <w:t>.</w:t>
      </w:r>
    </w:p>
    <w:p w14:paraId="0D744E7F" w14:textId="4C8014E5" w:rsidR="00F1522F" w:rsidRPr="00FC39D6" w:rsidRDefault="00F1522F" w:rsidP="00F1522F">
      <w:pPr>
        <w:pStyle w:val="HandbookMainText"/>
        <w:jc w:val="left"/>
        <w:rPr>
          <w:rFonts w:ascii="Arial" w:hAnsi="Arial" w:cs="Arial"/>
        </w:rPr>
      </w:pPr>
      <w:proofErr w:type="spellStart"/>
      <w:r w:rsidRPr="00FC39D6">
        <w:rPr>
          <w:rFonts w:ascii="Arial" w:hAnsi="Arial" w:cs="Arial"/>
        </w:rPr>
        <w:t>Triandis</w:t>
      </w:r>
      <w:proofErr w:type="spellEnd"/>
      <w:r w:rsidRPr="00FC39D6">
        <w:rPr>
          <w:rFonts w:ascii="Arial" w:hAnsi="Arial" w:cs="Arial"/>
        </w:rPr>
        <w:t xml:space="preserve">, H. C. (1995). </w:t>
      </w:r>
      <w:r w:rsidRPr="00FC39D6">
        <w:rPr>
          <w:rFonts w:ascii="Arial" w:hAnsi="Arial" w:cs="Arial"/>
          <w:i/>
        </w:rPr>
        <w:t>Individualism and collectivism</w:t>
      </w:r>
      <w:r w:rsidRPr="00FC39D6">
        <w:rPr>
          <w:rFonts w:ascii="Arial" w:hAnsi="Arial" w:cs="Arial"/>
        </w:rPr>
        <w:t>. Westview Press.</w:t>
      </w:r>
    </w:p>
    <w:p w14:paraId="548B70D9" w14:textId="77777777" w:rsidR="001024D3" w:rsidRPr="00FC39D6" w:rsidRDefault="001024D3" w:rsidP="001024D3">
      <w:pPr>
        <w:pStyle w:val="HandbookMainText"/>
        <w:jc w:val="left"/>
        <w:rPr>
          <w:rFonts w:ascii="Arial" w:hAnsi="Arial" w:cs="Arial"/>
        </w:rPr>
      </w:pPr>
      <w:proofErr w:type="spellStart"/>
      <w:r w:rsidRPr="00FC39D6">
        <w:rPr>
          <w:rFonts w:ascii="Arial" w:hAnsi="Arial" w:cs="Arial"/>
        </w:rPr>
        <w:t>Uskul</w:t>
      </w:r>
      <w:proofErr w:type="spellEnd"/>
      <w:r w:rsidRPr="00FC39D6">
        <w:rPr>
          <w:rFonts w:ascii="Arial" w:hAnsi="Arial" w:cs="Arial"/>
        </w:rPr>
        <w:t xml:space="preserve">, A. K., &amp; </w:t>
      </w:r>
      <w:proofErr w:type="spellStart"/>
      <w:r w:rsidRPr="00FC39D6">
        <w:rPr>
          <w:rFonts w:ascii="Arial" w:hAnsi="Arial" w:cs="Arial"/>
        </w:rPr>
        <w:t>Oyserman</w:t>
      </w:r>
      <w:proofErr w:type="spellEnd"/>
      <w:r w:rsidRPr="00FC39D6">
        <w:rPr>
          <w:rFonts w:ascii="Arial" w:hAnsi="Arial" w:cs="Arial"/>
        </w:rPr>
        <w:t xml:space="preserve">, D. (2006). Question Comprehension and Response: Implications of Individualism and Collectivism. In Y.-R. Chen (Ed.), </w:t>
      </w:r>
      <w:r w:rsidRPr="00FC39D6">
        <w:rPr>
          <w:rFonts w:ascii="Arial" w:hAnsi="Arial" w:cs="Arial"/>
          <w:i/>
        </w:rPr>
        <w:t>National Culture and Groups</w:t>
      </w:r>
      <w:r w:rsidRPr="00FC39D6">
        <w:rPr>
          <w:rFonts w:ascii="Arial" w:hAnsi="Arial" w:cs="Arial"/>
        </w:rPr>
        <w:t xml:space="preserve"> (Vol. 9, pp. 173–201). Emerald Group Publishing Limited. </w:t>
      </w:r>
    </w:p>
    <w:p w14:paraId="35314DCA" w14:textId="77777777" w:rsidR="004A6754" w:rsidRPr="00FC39D6" w:rsidRDefault="004A6754" w:rsidP="004A6754">
      <w:pPr>
        <w:pStyle w:val="HandbookMainText"/>
        <w:jc w:val="left"/>
        <w:rPr>
          <w:rFonts w:ascii="Arial" w:hAnsi="Arial" w:cs="Arial"/>
        </w:rPr>
      </w:pPr>
      <w:proofErr w:type="spellStart"/>
      <w:r w:rsidRPr="00FC39D6">
        <w:rPr>
          <w:rFonts w:ascii="Arial" w:hAnsi="Arial" w:cs="Arial"/>
        </w:rPr>
        <w:t>Uskul</w:t>
      </w:r>
      <w:proofErr w:type="spellEnd"/>
      <w:r w:rsidRPr="00FC39D6">
        <w:rPr>
          <w:rFonts w:ascii="Arial" w:hAnsi="Arial" w:cs="Arial"/>
        </w:rPr>
        <w:t xml:space="preserve">, A. K., </w:t>
      </w:r>
      <w:proofErr w:type="spellStart"/>
      <w:r w:rsidRPr="00FC39D6">
        <w:rPr>
          <w:rFonts w:ascii="Arial" w:hAnsi="Arial" w:cs="Arial"/>
        </w:rPr>
        <w:t>Oyserman</w:t>
      </w:r>
      <w:proofErr w:type="spellEnd"/>
      <w:r w:rsidRPr="00FC39D6">
        <w:rPr>
          <w:rFonts w:ascii="Arial" w:hAnsi="Arial" w:cs="Arial"/>
        </w:rPr>
        <w:t xml:space="preserve">, D., &amp; Schwarz, N. (2010). </w:t>
      </w:r>
      <w:r w:rsidRPr="00FC39D6">
        <w:rPr>
          <w:rFonts w:ascii="Arial" w:hAnsi="Arial" w:cs="Arial"/>
          <w:i/>
        </w:rPr>
        <w:t xml:space="preserve">Cultural emphasis on </w:t>
      </w:r>
      <w:proofErr w:type="spellStart"/>
      <w:r w:rsidRPr="00FC39D6">
        <w:rPr>
          <w:rFonts w:ascii="Arial" w:hAnsi="Arial" w:cs="Arial"/>
          <w:i/>
        </w:rPr>
        <w:t>honor</w:t>
      </w:r>
      <w:proofErr w:type="spellEnd"/>
      <w:r w:rsidRPr="00FC39D6">
        <w:rPr>
          <w:rFonts w:ascii="Arial" w:hAnsi="Arial" w:cs="Arial"/>
          <w:i/>
        </w:rPr>
        <w:t>, modesty, or self-enhancement: Implications for the survey response process</w:t>
      </w:r>
      <w:r w:rsidRPr="00FC39D6">
        <w:rPr>
          <w:rFonts w:ascii="Arial" w:hAnsi="Arial" w:cs="Arial"/>
        </w:rPr>
        <w:t>.</w:t>
      </w:r>
    </w:p>
    <w:p w14:paraId="605CC7FD" w14:textId="77777777" w:rsidR="00625C5B" w:rsidRPr="00FC39D6" w:rsidRDefault="00625C5B" w:rsidP="00625C5B">
      <w:pPr>
        <w:pStyle w:val="HandbookMainText"/>
        <w:jc w:val="left"/>
        <w:rPr>
          <w:rFonts w:ascii="Arial" w:hAnsi="Arial" w:cs="Arial"/>
        </w:rPr>
      </w:pPr>
      <w:r w:rsidRPr="00FC39D6">
        <w:rPr>
          <w:rFonts w:ascii="Arial" w:hAnsi="Arial" w:cs="Arial"/>
        </w:rPr>
        <w:t>Willis, G. B. (2005). </w:t>
      </w:r>
      <w:r w:rsidRPr="00FC39D6">
        <w:rPr>
          <w:rFonts w:ascii="Arial" w:hAnsi="Arial" w:cs="Arial"/>
          <w:i/>
        </w:rPr>
        <w:t>Cognitive interviewing: a tool for improving questionnaire design</w:t>
      </w:r>
      <w:r w:rsidRPr="00FC39D6">
        <w:rPr>
          <w:rFonts w:ascii="Arial" w:hAnsi="Arial" w:cs="Arial"/>
        </w:rPr>
        <w:t>. Thousand Oaks, CA: Sage.</w:t>
      </w:r>
    </w:p>
    <w:p w14:paraId="6BCDB00C" w14:textId="77777777" w:rsidR="00605A54" w:rsidRPr="00FC39D6" w:rsidRDefault="00605A54" w:rsidP="00605A54">
      <w:pPr>
        <w:pStyle w:val="HandbookMainText"/>
        <w:jc w:val="left"/>
        <w:rPr>
          <w:rFonts w:ascii="Arial" w:hAnsi="Arial" w:cs="Arial"/>
        </w:rPr>
      </w:pPr>
      <w:r w:rsidRPr="00FC39D6">
        <w:rPr>
          <w:rFonts w:ascii="Arial" w:hAnsi="Arial" w:cs="Arial"/>
        </w:rPr>
        <w:t xml:space="preserve">World Bank. (2024). </w:t>
      </w:r>
      <w:hyperlink r:id="rId10">
        <w:r w:rsidRPr="00FC39D6">
          <w:rPr>
            <w:rFonts w:ascii="Arial" w:hAnsi="Arial" w:cs="Arial"/>
            <w:color w:val="0000FF"/>
            <w:u w:val="single"/>
          </w:rPr>
          <w:t xml:space="preserve">Survey Pilot - </w:t>
        </w:r>
        <w:proofErr w:type="spellStart"/>
        <w:r w:rsidRPr="00FC39D6">
          <w:rPr>
            <w:rFonts w:ascii="Arial" w:hAnsi="Arial" w:cs="Arial"/>
            <w:color w:val="0000FF"/>
            <w:u w:val="single"/>
          </w:rPr>
          <w:t>Dimewiki</w:t>
        </w:r>
        <w:proofErr w:type="spellEnd"/>
      </w:hyperlink>
    </w:p>
    <w:p w14:paraId="7A5D4EE8" w14:textId="77777777" w:rsidR="00CE69D1" w:rsidRPr="00FC39D6" w:rsidRDefault="00CE69D1" w:rsidP="00CE69D1">
      <w:pPr>
        <w:pStyle w:val="HandbookMainText"/>
        <w:jc w:val="left"/>
        <w:rPr>
          <w:rFonts w:ascii="Arial" w:hAnsi="Arial" w:cs="Arial"/>
        </w:rPr>
      </w:pPr>
      <w:r w:rsidRPr="00FC39D6">
        <w:rPr>
          <w:rFonts w:ascii="Arial" w:hAnsi="Arial" w:cs="Arial"/>
        </w:rPr>
        <w:lastRenderedPageBreak/>
        <w:t xml:space="preserve">Yang, Y., Harkness, J. A., Chin, T., &amp; Villar, A. (2010). Response styles and culture. In </w:t>
      </w:r>
      <w:r w:rsidRPr="00FC39D6">
        <w:rPr>
          <w:rFonts w:ascii="Arial" w:hAnsi="Arial" w:cs="Arial"/>
          <w:i/>
        </w:rPr>
        <w:t>Survey Methods in Multinational, Multiregional, and Multicultural Contexts</w:t>
      </w:r>
      <w:r w:rsidRPr="00FC39D6">
        <w:rPr>
          <w:rFonts w:ascii="Arial" w:hAnsi="Arial" w:cs="Arial"/>
        </w:rPr>
        <w:t xml:space="preserve"> (pp. 203–223). John Wiley &amp; Sons.</w:t>
      </w:r>
    </w:p>
    <w:p w14:paraId="069E1A22" w14:textId="77777777" w:rsidR="00CE69D1" w:rsidRPr="00FC39D6" w:rsidRDefault="00CE69D1" w:rsidP="004A6754">
      <w:pPr>
        <w:pStyle w:val="HandbookMainText"/>
        <w:jc w:val="left"/>
        <w:rPr>
          <w:rFonts w:ascii="Arial" w:hAnsi="Arial" w:cs="Arial"/>
        </w:rPr>
      </w:pPr>
    </w:p>
    <w:p w14:paraId="31FB36DB" w14:textId="13EB36E6" w:rsidR="00F1522F" w:rsidRPr="00FC39D6" w:rsidRDefault="008B1B8C">
      <w:pPr>
        <w:rPr>
          <w:rFonts w:ascii="Arial" w:hAnsi="Arial" w:cs="Arial"/>
          <w:b/>
          <w:bCs/>
          <w:u w:val="single"/>
          <w:lang w:val="en-GB"/>
        </w:rPr>
      </w:pPr>
      <w:r w:rsidRPr="00FC39D6">
        <w:rPr>
          <w:rFonts w:ascii="Arial" w:hAnsi="Arial" w:cs="Arial"/>
          <w:b/>
          <w:bCs/>
          <w:u w:val="single"/>
          <w:lang w:val="en-GB"/>
        </w:rPr>
        <w:t>Other Recent Literature</w:t>
      </w:r>
    </w:p>
    <w:p w14:paraId="0FD06D13" w14:textId="77777777" w:rsidR="008B1B8C" w:rsidRPr="00FC39D6" w:rsidRDefault="008B1B8C">
      <w:pPr>
        <w:rPr>
          <w:rFonts w:ascii="Arial" w:hAnsi="Arial" w:cs="Arial"/>
          <w:b/>
          <w:bCs/>
          <w:u w:val="single"/>
          <w:lang w:val="en-GB"/>
        </w:rPr>
      </w:pPr>
    </w:p>
    <w:p w14:paraId="06D3A76B" w14:textId="77777777" w:rsidR="008B1B8C" w:rsidRPr="008B1B8C" w:rsidRDefault="008B1B8C" w:rsidP="008B1B8C">
      <w:pPr>
        <w:numPr>
          <w:ilvl w:val="0"/>
          <w:numId w:val="2"/>
        </w:numPr>
        <w:rPr>
          <w:rFonts w:ascii="Arial" w:hAnsi="Arial" w:cs="Arial"/>
        </w:rPr>
      </w:pPr>
      <w:r w:rsidRPr="008B1B8C">
        <w:rPr>
          <w:rFonts w:ascii="Arial" w:hAnsi="Arial" w:cs="Arial"/>
          <w:i/>
          <w:iCs/>
        </w:rPr>
        <w:t>Handbook of Surveys on Individuals and Households, Foundation and Emerging Approaches</w:t>
      </w:r>
      <w:r w:rsidRPr="008B1B8C">
        <w:rPr>
          <w:rFonts w:ascii="Arial" w:hAnsi="Arial" w:cs="Arial"/>
        </w:rPr>
        <w:t xml:space="preserve">, United Nations Statistics Division, </w:t>
      </w:r>
      <w:hyperlink r:id="rId11" w:history="1">
        <w:r w:rsidRPr="008B1B8C">
          <w:rPr>
            <w:rStyle w:val="Hyperlink"/>
            <w:rFonts w:ascii="Arial" w:hAnsi="Arial" w:cs="Arial"/>
          </w:rPr>
          <w:t>Preliminary Draft Spring 2025</w:t>
        </w:r>
      </w:hyperlink>
    </w:p>
    <w:p w14:paraId="3DF03DC2" w14:textId="77777777" w:rsidR="00580A9D" w:rsidRPr="00580A9D" w:rsidRDefault="008B1B8C" w:rsidP="00580A9D">
      <w:pPr>
        <w:numPr>
          <w:ilvl w:val="0"/>
          <w:numId w:val="2"/>
        </w:numPr>
        <w:rPr>
          <w:rFonts w:ascii="Arial" w:hAnsi="Arial" w:cs="Arial"/>
        </w:rPr>
      </w:pPr>
      <w:hyperlink r:id="rId12" w:history="1">
        <w:r w:rsidRPr="008B1B8C">
          <w:rPr>
            <w:rStyle w:val="Hyperlink"/>
            <w:rFonts w:ascii="Arial" w:hAnsi="Arial" w:cs="Arial"/>
            <w:i/>
            <w:iCs/>
          </w:rPr>
          <w:t xml:space="preserve">Survey Practice: 2025 Special Issue on Cross-Cultural and Multilingual Research </w:t>
        </w:r>
      </w:hyperlink>
    </w:p>
    <w:p w14:paraId="6869074A" w14:textId="16EB69AE" w:rsidR="008B1B8C" w:rsidRPr="008B1B8C" w:rsidRDefault="008B1B8C" w:rsidP="00580A9D">
      <w:pPr>
        <w:numPr>
          <w:ilvl w:val="0"/>
          <w:numId w:val="2"/>
        </w:numPr>
        <w:rPr>
          <w:rFonts w:ascii="Arial" w:hAnsi="Arial" w:cs="Arial"/>
        </w:rPr>
      </w:pPr>
      <w:r w:rsidRPr="008B1B8C">
        <w:rPr>
          <w:rFonts w:ascii="Arial" w:hAnsi="Arial" w:cs="Arial"/>
        </w:rPr>
        <w:t>de Jong</w:t>
      </w:r>
      <w:r w:rsidR="00580A9D">
        <w:rPr>
          <w:rFonts w:ascii="Arial" w:hAnsi="Arial" w:cs="Arial"/>
        </w:rPr>
        <w:t>, J.</w:t>
      </w:r>
      <w:r w:rsidRPr="008B1B8C">
        <w:rPr>
          <w:rFonts w:ascii="Arial" w:hAnsi="Arial" w:cs="Arial"/>
        </w:rPr>
        <w:t xml:space="preserve"> &amp; </w:t>
      </w:r>
      <w:r w:rsidR="00580A9D">
        <w:rPr>
          <w:rFonts w:ascii="Arial" w:hAnsi="Arial" w:cs="Arial"/>
        </w:rPr>
        <w:t xml:space="preserve">Z. </w:t>
      </w:r>
      <w:r w:rsidRPr="008B1B8C">
        <w:rPr>
          <w:rFonts w:ascii="Arial" w:hAnsi="Arial" w:cs="Arial"/>
        </w:rPr>
        <w:t>Mneinmeh</w:t>
      </w:r>
      <w:r w:rsidR="00580A9D">
        <w:rPr>
          <w:rFonts w:ascii="Arial" w:hAnsi="Arial" w:cs="Arial"/>
        </w:rPr>
        <w:t xml:space="preserve">. (2022). </w:t>
      </w:r>
      <w:r w:rsidRPr="008B1B8C">
        <w:rPr>
          <w:rFonts w:ascii="Arial" w:hAnsi="Arial" w:cs="Arial"/>
        </w:rPr>
        <w:t>Survey Design and Implementation Considerations in International and Cross-National Research</w:t>
      </w:r>
      <w:r w:rsidR="00580A9D">
        <w:rPr>
          <w:rFonts w:ascii="Arial" w:hAnsi="Arial" w:cs="Arial"/>
        </w:rPr>
        <w:t xml:space="preserve">. In </w:t>
      </w:r>
      <w:r w:rsidRPr="008B1B8C">
        <w:rPr>
          <w:rFonts w:ascii="Arial" w:hAnsi="Arial" w:cs="Arial"/>
          <w:i/>
          <w:iCs/>
        </w:rPr>
        <w:t>Handbook of International Leadership Research</w:t>
      </w:r>
      <w:r w:rsidRPr="008B1B8C">
        <w:rPr>
          <w:rFonts w:ascii="Arial" w:hAnsi="Arial" w:cs="Arial"/>
        </w:rPr>
        <w:t>, Bieri et al. (eds.), Routledge Press.</w:t>
      </w:r>
    </w:p>
    <w:p w14:paraId="2049980C" w14:textId="1D1CC92B" w:rsidR="008B1B8C" w:rsidRPr="008B1B8C" w:rsidRDefault="00F26188" w:rsidP="008B1B8C">
      <w:pPr>
        <w:numPr>
          <w:ilvl w:val="0"/>
          <w:numId w:val="2"/>
        </w:numPr>
        <w:rPr>
          <w:rFonts w:ascii="Arial" w:hAnsi="Arial" w:cs="Arial"/>
        </w:rPr>
      </w:pPr>
      <w:hyperlink r:id="rId13" w:history="1">
        <w:r w:rsidR="008B1B8C" w:rsidRPr="008B1B8C">
          <w:rPr>
            <w:rStyle w:val="Hyperlink"/>
            <w:rFonts w:ascii="Arial" w:hAnsi="Arial" w:cs="Arial"/>
          </w:rPr>
          <w:t>AAPOR/WAPOR Task Force Report on Quality in Comparative Surveys</w:t>
        </w:r>
      </w:hyperlink>
    </w:p>
    <w:p w14:paraId="646E9ADB" w14:textId="7374978C" w:rsidR="008B1B8C" w:rsidRPr="008B1B8C" w:rsidRDefault="00F83214" w:rsidP="00F83214">
      <w:pPr>
        <w:numPr>
          <w:ilvl w:val="0"/>
          <w:numId w:val="2"/>
        </w:numPr>
        <w:rPr>
          <w:rFonts w:ascii="Arial" w:hAnsi="Arial" w:cs="Arial"/>
        </w:rPr>
      </w:pPr>
      <w:r>
        <w:rPr>
          <w:rFonts w:ascii="Arial" w:hAnsi="Arial" w:cs="Arial"/>
        </w:rPr>
        <w:t xml:space="preserve">Sha, M. &amp; T. Gabel (Eds). (2020). </w:t>
      </w:r>
      <w:r w:rsidR="008B1B8C" w:rsidRPr="008B1B8C">
        <w:rPr>
          <w:rFonts w:ascii="Arial" w:hAnsi="Arial" w:cs="Arial"/>
          <w:i/>
          <w:iCs/>
        </w:rPr>
        <w:t>The Essential Role of Language in Survey Research</w:t>
      </w:r>
      <w:r>
        <w:rPr>
          <w:rFonts w:ascii="Arial" w:hAnsi="Arial" w:cs="Arial"/>
          <w:i/>
          <w:iCs/>
        </w:rPr>
        <w:t>.</w:t>
      </w:r>
      <w:r w:rsidR="008B1B8C" w:rsidRPr="008B1B8C">
        <w:rPr>
          <w:rFonts w:ascii="Arial" w:hAnsi="Arial" w:cs="Arial"/>
        </w:rPr>
        <w:t xml:space="preserve"> RTI Press, 2020 (</w:t>
      </w:r>
      <w:hyperlink r:id="rId14" w:history="1">
        <w:r w:rsidR="008B1B8C" w:rsidRPr="008B1B8C">
          <w:rPr>
            <w:rStyle w:val="Hyperlink"/>
            <w:rFonts w:ascii="Arial" w:hAnsi="Arial" w:cs="Arial"/>
          </w:rPr>
          <w:t>open ac</w:t>
        </w:r>
        <w:r w:rsidR="008B1B8C" w:rsidRPr="008B1B8C">
          <w:rPr>
            <w:rStyle w:val="Hyperlink"/>
            <w:rFonts w:ascii="Arial" w:hAnsi="Arial" w:cs="Arial"/>
          </w:rPr>
          <w:t>c</w:t>
        </w:r>
        <w:r w:rsidR="008B1B8C" w:rsidRPr="008B1B8C">
          <w:rPr>
            <w:rStyle w:val="Hyperlink"/>
            <w:rFonts w:ascii="Arial" w:hAnsi="Arial" w:cs="Arial"/>
          </w:rPr>
          <w:t>ess</w:t>
        </w:r>
      </w:hyperlink>
      <w:r w:rsidR="008B1B8C" w:rsidRPr="008B1B8C">
        <w:rPr>
          <w:rFonts w:ascii="Arial" w:hAnsi="Arial" w:cs="Arial"/>
        </w:rPr>
        <w:t>)</w:t>
      </w:r>
    </w:p>
    <w:p w14:paraId="2FFC25E9" w14:textId="3B15F08F" w:rsidR="008B1B8C" w:rsidRPr="008B1B8C" w:rsidRDefault="00724CF6" w:rsidP="008B1B8C">
      <w:pPr>
        <w:numPr>
          <w:ilvl w:val="0"/>
          <w:numId w:val="2"/>
        </w:numPr>
        <w:rPr>
          <w:rFonts w:ascii="Arial" w:hAnsi="Arial" w:cs="Arial"/>
        </w:rPr>
      </w:pPr>
      <w:proofErr w:type="gramStart"/>
      <w:r w:rsidRPr="00724CF6">
        <w:rPr>
          <w:rFonts w:ascii="Arial" w:hAnsi="Arial" w:cs="Arial"/>
          <w:lang w:val="fr-ML"/>
        </w:rPr>
        <w:t>d</w:t>
      </w:r>
      <w:r w:rsidR="00F26188" w:rsidRPr="00724CF6">
        <w:rPr>
          <w:rFonts w:ascii="Arial" w:hAnsi="Arial" w:cs="Arial"/>
          <w:lang w:val="fr-ML"/>
        </w:rPr>
        <w:t>e</w:t>
      </w:r>
      <w:proofErr w:type="gramEnd"/>
      <w:r w:rsidR="00F26188" w:rsidRPr="00724CF6">
        <w:rPr>
          <w:rFonts w:ascii="Arial" w:hAnsi="Arial" w:cs="Arial"/>
          <w:lang w:val="fr-ML"/>
        </w:rPr>
        <w:t xml:space="preserve"> Jong, J.</w:t>
      </w:r>
      <w:r w:rsidRPr="00724CF6">
        <w:rPr>
          <w:rFonts w:ascii="Arial" w:hAnsi="Arial" w:cs="Arial"/>
          <w:lang w:val="fr-ML"/>
        </w:rPr>
        <w:t xml:space="preserve"> &amp; K. </w:t>
      </w:r>
      <w:proofErr w:type="spellStart"/>
      <w:r w:rsidRPr="00724CF6">
        <w:rPr>
          <w:rFonts w:ascii="Arial" w:hAnsi="Arial" w:cs="Arial"/>
          <w:lang w:val="fr-ML"/>
        </w:rPr>
        <w:t>Cibelli</w:t>
      </w:r>
      <w:proofErr w:type="spellEnd"/>
      <w:r w:rsidRPr="00724CF6">
        <w:rPr>
          <w:rFonts w:ascii="Arial" w:hAnsi="Arial" w:cs="Arial"/>
          <w:lang w:val="fr-ML"/>
        </w:rPr>
        <w:t xml:space="preserve"> </w:t>
      </w:r>
      <w:proofErr w:type="spellStart"/>
      <w:r w:rsidRPr="00724CF6">
        <w:rPr>
          <w:rFonts w:ascii="Arial" w:hAnsi="Arial" w:cs="Arial"/>
          <w:lang w:val="fr-ML"/>
        </w:rPr>
        <w:t>Hibben</w:t>
      </w:r>
      <w:proofErr w:type="spellEnd"/>
      <w:r w:rsidRPr="00724CF6">
        <w:rPr>
          <w:rFonts w:ascii="Arial" w:hAnsi="Arial" w:cs="Arial"/>
          <w:lang w:val="fr-ML"/>
        </w:rPr>
        <w:t xml:space="preserve">. </w:t>
      </w:r>
      <w:hyperlink r:id="rId15" w:history="1">
        <w:r w:rsidR="008B1B8C" w:rsidRPr="008B1B8C">
          <w:rPr>
            <w:rStyle w:val="Hyperlink"/>
            <w:rFonts w:ascii="Arial" w:hAnsi="Arial" w:cs="Arial"/>
            <w:i/>
            <w:iCs/>
          </w:rPr>
          <w:t>Assessing the Quality of Survey Processes and Outputs: The 4th European Quality of Life Survey</w:t>
        </w:r>
      </w:hyperlink>
      <w:r>
        <w:rPr>
          <w:rFonts w:ascii="Arial" w:hAnsi="Arial" w:cs="Arial"/>
        </w:rPr>
        <w:t xml:space="preserve">. </w:t>
      </w:r>
    </w:p>
    <w:p w14:paraId="505441FB" w14:textId="5AED6C79" w:rsidR="00695948" w:rsidRPr="00695948" w:rsidRDefault="00695948" w:rsidP="008B1B8C">
      <w:pPr>
        <w:numPr>
          <w:ilvl w:val="0"/>
          <w:numId w:val="2"/>
        </w:numPr>
        <w:rPr>
          <w:rFonts w:ascii="Arial" w:hAnsi="Arial" w:cs="Arial"/>
        </w:rPr>
      </w:pPr>
      <w:r w:rsidRPr="00695948">
        <w:rPr>
          <w:rFonts w:ascii="Arial" w:hAnsi="Arial" w:cs="Arial"/>
        </w:rPr>
        <w:t xml:space="preserve">Johnson, </w:t>
      </w:r>
      <w:r w:rsidRPr="00695948">
        <w:rPr>
          <w:rFonts w:ascii="Arial" w:hAnsi="Arial" w:cs="Arial"/>
        </w:rPr>
        <w:t xml:space="preserve">T. P., </w:t>
      </w:r>
      <w:r w:rsidRPr="00695948">
        <w:rPr>
          <w:rFonts w:ascii="Arial" w:hAnsi="Arial" w:cs="Arial"/>
        </w:rPr>
        <w:t>B.-E. Pennell, I. Stoop, &amp; B. Dorer (Eds.)</w:t>
      </w:r>
      <w:r w:rsidRPr="00695948">
        <w:rPr>
          <w:rFonts w:ascii="Arial" w:hAnsi="Arial" w:cs="Arial"/>
        </w:rPr>
        <w:t>. (2019).</w:t>
      </w:r>
      <w:r>
        <w:rPr>
          <w:rFonts w:ascii="Arial" w:hAnsi="Arial" w:cs="Arial"/>
          <w:i/>
          <w:iCs/>
        </w:rPr>
        <w:t xml:space="preserve"> </w:t>
      </w:r>
      <w:r w:rsidRPr="00695948">
        <w:rPr>
          <w:rFonts w:ascii="Arial" w:hAnsi="Arial" w:cs="Arial"/>
          <w:i/>
          <w:iCs/>
        </w:rPr>
        <w:t xml:space="preserve">Advances in comparative survey methodology. </w:t>
      </w:r>
      <w:r w:rsidRPr="00695948">
        <w:rPr>
          <w:rFonts w:ascii="Arial" w:hAnsi="Arial" w:cs="Arial"/>
        </w:rPr>
        <w:t>New York, NY: John Wiley &amp; Sons Inc.</w:t>
      </w:r>
      <w:r w:rsidRPr="00695948">
        <w:rPr>
          <w:rFonts w:ascii="Arial" w:hAnsi="Arial" w:cs="Arial"/>
          <w:i/>
          <w:iCs/>
        </w:rPr>
        <w:t xml:space="preserve"> </w:t>
      </w:r>
    </w:p>
    <w:p w14:paraId="2C4D48C9" w14:textId="0425F9A7" w:rsidR="008B1B8C" w:rsidRPr="008B1B8C" w:rsidRDefault="008B1B8C" w:rsidP="00796BEA">
      <w:pPr>
        <w:numPr>
          <w:ilvl w:val="0"/>
          <w:numId w:val="2"/>
        </w:numPr>
        <w:rPr>
          <w:rFonts w:ascii="Arial" w:hAnsi="Arial" w:cs="Arial"/>
        </w:rPr>
      </w:pPr>
      <w:r w:rsidRPr="008B1B8C">
        <w:rPr>
          <w:rFonts w:ascii="Arial" w:hAnsi="Arial" w:cs="Arial"/>
        </w:rPr>
        <w:t>Special Issue: Translation of Questionnaires in Cross-national and Cross-cultural Research</w:t>
      </w:r>
      <w:r w:rsidR="00796BEA" w:rsidRPr="00796BEA">
        <w:rPr>
          <w:rFonts w:ascii="Arial" w:hAnsi="Arial" w:cs="Arial"/>
        </w:rPr>
        <w:t>.</w:t>
      </w:r>
      <w:r w:rsidR="00796BEA">
        <w:rPr>
          <w:rFonts w:ascii="Arial" w:hAnsi="Arial" w:cs="Arial"/>
        </w:rPr>
        <w:t xml:space="preserve"> (2018). </w:t>
      </w:r>
      <w:hyperlink r:id="rId16" w:history="1">
        <w:r w:rsidRPr="008B1B8C">
          <w:rPr>
            <w:rStyle w:val="Hyperlink"/>
            <w:rFonts w:ascii="Arial" w:hAnsi="Arial" w:cs="Arial"/>
            <w:i/>
            <w:iCs/>
          </w:rPr>
          <w:t>Translation and Interpreting</w:t>
        </w:r>
      </w:hyperlink>
      <w:r w:rsidRPr="008B1B8C">
        <w:rPr>
          <w:rFonts w:ascii="Arial" w:hAnsi="Arial" w:cs="Arial"/>
        </w:rPr>
        <w:t>, 10(2)</w:t>
      </w:r>
      <w:r w:rsidR="00796BEA">
        <w:rPr>
          <w:rFonts w:ascii="Arial" w:hAnsi="Arial" w:cs="Arial"/>
        </w:rPr>
        <w:t>.</w:t>
      </w:r>
    </w:p>
    <w:p w14:paraId="0AF161A4" w14:textId="77777777" w:rsidR="008B1B8C" w:rsidRPr="00FC39D6" w:rsidRDefault="008B1B8C">
      <w:pPr>
        <w:rPr>
          <w:rFonts w:ascii="Arial" w:hAnsi="Arial" w:cs="Arial"/>
          <w:lang w:val="en-GB"/>
        </w:rPr>
      </w:pPr>
    </w:p>
    <w:sectPr w:rsidR="008B1B8C" w:rsidRPr="00FC39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altName w:val="Arial"/>
    <w:panose1 w:val="020B0604020202020204"/>
    <w:charset w:val="00"/>
    <w:family w:val="swiss"/>
    <w:pitch w:val="variable"/>
    <w:sig w:usb0="E0002EFF" w:usb1="C000785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altName w:val="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A284975"/>
    <w:multiLevelType w:val="hybridMultilevel"/>
    <w:tmpl w:val="8A64C0C0"/>
    <w:lvl w:ilvl="0" w:tplc="1FD80C62">
      <w:start w:val="1"/>
      <w:numFmt w:val="bullet"/>
      <w:lvlText w:val="•"/>
      <w:lvlJc w:val="left"/>
      <w:pPr>
        <w:tabs>
          <w:tab w:val="num" w:pos="720"/>
        </w:tabs>
        <w:ind w:left="720" w:hanging="360"/>
      </w:pPr>
      <w:rPr>
        <w:rFonts w:ascii="Arial" w:hAnsi="Arial" w:hint="default"/>
      </w:rPr>
    </w:lvl>
    <w:lvl w:ilvl="1" w:tplc="57A0E93E">
      <w:numFmt w:val="bullet"/>
      <w:lvlText w:val="•"/>
      <w:lvlJc w:val="left"/>
      <w:pPr>
        <w:tabs>
          <w:tab w:val="num" w:pos="1440"/>
        </w:tabs>
        <w:ind w:left="1440" w:hanging="360"/>
      </w:pPr>
      <w:rPr>
        <w:rFonts w:ascii="Arial" w:hAnsi="Arial" w:hint="default"/>
      </w:rPr>
    </w:lvl>
    <w:lvl w:ilvl="2" w:tplc="928A1F3C" w:tentative="1">
      <w:start w:val="1"/>
      <w:numFmt w:val="bullet"/>
      <w:lvlText w:val="•"/>
      <w:lvlJc w:val="left"/>
      <w:pPr>
        <w:tabs>
          <w:tab w:val="num" w:pos="2160"/>
        </w:tabs>
        <w:ind w:left="2160" w:hanging="360"/>
      </w:pPr>
      <w:rPr>
        <w:rFonts w:ascii="Arial" w:hAnsi="Arial" w:hint="default"/>
      </w:rPr>
    </w:lvl>
    <w:lvl w:ilvl="3" w:tplc="B31A877E" w:tentative="1">
      <w:start w:val="1"/>
      <w:numFmt w:val="bullet"/>
      <w:lvlText w:val="•"/>
      <w:lvlJc w:val="left"/>
      <w:pPr>
        <w:tabs>
          <w:tab w:val="num" w:pos="2880"/>
        </w:tabs>
        <w:ind w:left="2880" w:hanging="360"/>
      </w:pPr>
      <w:rPr>
        <w:rFonts w:ascii="Arial" w:hAnsi="Arial" w:hint="default"/>
      </w:rPr>
    </w:lvl>
    <w:lvl w:ilvl="4" w:tplc="6B88A7D2" w:tentative="1">
      <w:start w:val="1"/>
      <w:numFmt w:val="bullet"/>
      <w:lvlText w:val="•"/>
      <w:lvlJc w:val="left"/>
      <w:pPr>
        <w:tabs>
          <w:tab w:val="num" w:pos="3600"/>
        </w:tabs>
        <w:ind w:left="3600" w:hanging="360"/>
      </w:pPr>
      <w:rPr>
        <w:rFonts w:ascii="Arial" w:hAnsi="Arial" w:hint="default"/>
      </w:rPr>
    </w:lvl>
    <w:lvl w:ilvl="5" w:tplc="D5D27584" w:tentative="1">
      <w:start w:val="1"/>
      <w:numFmt w:val="bullet"/>
      <w:lvlText w:val="•"/>
      <w:lvlJc w:val="left"/>
      <w:pPr>
        <w:tabs>
          <w:tab w:val="num" w:pos="4320"/>
        </w:tabs>
        <w:ind w:left="4320" w:hanging="360"/>
      </w:pPr>
      <w:rPr>
        <w:rFonts w:ascii="Arial" w:hAnsi="Arial" w:hint="default"/>
      </w:rPr>
    </w:lvl>
    <w:lvl w:ilvl="6" w:tplc="CCC41D06" w:tentative="1">
      <w:start w:val="1"/>
      <w:numFmt w:val="bullet"/>
      <w:lvlText w:val="•"/>
      <w:lvlJc w:val="left"/>
      <w:pPr>
        <w:tabs>
          <w:tab w:val="num" w:pos="5040"/>
        </w:tabs>
        <w:ind w:left="5040" w:hanging="360"/>
      </w:pPr>
      <w:rPr>
        <w:rFonts w:ascii="Arial" w:hAnsi="Arial" w:hint="default"/>
      </w:rPr>
    </w:lvl>
    <w:lvl w:ilvl="7" w:tplc="EF3EDDC0" w:tentative="1">
      <w:start w:val="1"/>
      <w:numFmt w:val="bullet"/>
      <w:lvlText w:val="•"/>
      <w:lvlJc w:val="left"/>
      <w:pPr>
        <w:tabs>
          <w:tab w:val="num" w:pos="5760"/>
        </w:tabs>
        <w:ind w:left="5760" w:hanging="360"/>
      </w:pPr>
      <w:rPr>
        <w:rFonts w:ascii="Arial" w:hAnsi="Arial" w:hint="default"/>
      </w:rPr>
    </w:lvl>
    <w:lvl w:ilvl="8" w:tplc="B888BF3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454D6866"/>
    <w:multiLevelType w:val="hybridMultilevel"/>
    <w:tmpl w:val="E208F2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01016076">
    <w:abstractNumId w:val="1"/>
  </w:num>
  <w:num w:numId="2" w16cid:durableId="18090076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3E11"/>
    <w:rsid w:val="0007479A"/>
    <w:rsid w:val="000757ED"/>
    <w:rsid w:val="0008180B"/>
    <w:rsid w:val="001024D3"/>
    <w:rsid w:val="0011768D"/>
    <w:rsid w:val="00132F78"/>
    <w:rsid w:val="00197AB7"/>
    <w:rsid w:val="001B23F3"/>
    <w:rsid w:val="001E7C58"/>
    <w:rsid w:val="002274E1"/>
    <w:rsid w:val="00293167"/>
    <w:rsid w:val="002B0535"/>
    <w:rsid w:val="00357E23"/>
    <w:rsid w:val="003716F4"/>
    <w:rsid w:val="003C5C4F"/>
    <w:rsid w:val="003D1F0C"/>
    <w:rsid w:val="00424406"/>
    <w:rsid w:val="004A6754"/>
    <w:rsid w:val="00512438"/>
    <w:rsid w:val="005140AE"/>
    <w:rsid w:val="005522EB"/>
    <w:rsid w:val="00561C81"/>
    <w:rsid w:val="00565E8D"/>
    <w:rsid w:val="00580A9D"/>
    <w:rsid w:val="005D0342"/>
    <w:rsid w:val="005D45B7"/>
    <w:rsid w:val="00605A54"/>
    <w:rsid w:val="006222FE"/>
    <w:rsid w:val="00625C5B"/>
    <w:rsid w:val="00663923"/>
    <w:rsid w:val="00686E58"/>
    <w:rsid w:val="00695948"/>
    <w:rsid w:val="006C012F"/>
    <w:rsid w:val="006E2AC8"/>
    <w:rsid w:val="00724CF6"/>
    <w:rsid w:val="00767D87"/>
    <w:rsid w:val="0077297F"/>
    <w:rsid w:val="00796BEA"/>
    <w:rsid w:val="00886930"/>
    <w:rsid w:val="008923F4"/>
    <w:rsid w:val="008B1B8C"/>
    <w:rsid w:val="008E5822"/>
    <w:rsid w:val="00997346"/>
    <w:rsid w:val="009D3A62"/>
    <w:rsid w:val="00A55990"/>
    <w:rsid w:val="00AB3C71"/>
    <w:rsid w:val="00AD2482"/>
    <w:rsid w:val="00B174C1"/>
    <w:rsid w:val="00B8073E"/>
    <w:rsid w:val="00BD51AD"/>
    <w:rsid w:val="00C45CE9"/>
    <w:rsid w:val="00C53853"/>
    <w:rsid w:val="00C83E11"/>
    <w:rsid w:val="00CB7980"/>
    <w:rsid w:val="00CE69D1"/>
    <w:rsid w:val="00D46C52"/>
    <w:rsid w:val="00E10536"/>
    <w:rsid w:val="00E13046"/>
    <w:rsid w:val="00E16E45"/>
    <w:rsid w:val="00E67D35"/>
    <w:rsid w:val="00E82DAD"/>
    <w:rsid w:val="00EA2176"/>
    <w:rsid w:val="00F14832"/>
    <w:rsid w:val="00F1522F"/>
    <w:rsid w:val="00F26188"/>
    <w:rsid w:val="00F83214"/>
    <w:rsid w:val="00FC39D6"/>
    <w:rsid w:val="00FC49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509507"/>
  <w15:chartTrackingRefBased/>
  <w15:docId w15:val="{6EC5709C-3B04-4ECE-B203-749CCC30D8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83E1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83E1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83E1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83E1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83E1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83E1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83E1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83E1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83E1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3E1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83E1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83E1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83E1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83E1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83E1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83E1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83E1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83E11"/>
    <w:rPr>
      <w:rFonts w:eastAsiaTheme="majorEastAsia" w:cstheme="majorBidi"/>
      <w:color w:val="272727" w:themeColor="text1" w:themeTint="D8"/>
    </w:rPr>
  </w:style>
  <w:style w:type="paragraph" w:styleId="Title">
    <w:name w:val="Title"/>
    <w:basedOn w:val="Normal"/>
    <w:next w:val="Normal"/>
    <w:link w:val="TitleChar"/>
    <w:uiPriority w:val="10"/>
    <w:qFormat/>
    <w:rsid w:val="00C83E1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3E1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83E1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83E1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83E11"/>
    <w:pPr>
      <w:spacing w:before="160"/>
      <w:jc w:val="center"/>
    </w:pPr>
    <w:rPr>
      <w:i/>
      <w:iCs/>
      <w:color w:val="404040" w:themeColor="text1" w:themeTint="BF"/>
    </w:rPr>
  </w:style>
  <w:style w:type="character" w:customStyle="1" w:styleId="QuoteChar">
    <w:name w:val="Quote Char"/>
    <w:basedOn w:val="DefaultParagraphFont"/>
    <w:link w:val="Quote"/>
    <w:uiPriority w:val="29"/>
    <w:rsid w:val="00C83E11"/>
    <w:rPr>
      <w:i/>
      <w:iCs/>
      <w:color w:val="404040" w:themeColor="text1" w:themeTint="BF"/>
    </w:rPr>
  </w:style>
  <w:style w:type="paragraph" w:styleId="ListParagraph">
    <w:name w:val="List Paragraph"/>
    <w:basedOn w:val="Normal"/>
    <w:uiPriority w:val="34"/>
    <w:qFormat/>
    <w:rsid w:val="00C83E11"/>
    <w:pPr>
      <w:ind w:left="720"/>
      <w:contextualSpacing/>
    </w:pPr>
  </w:style>
  <w:style w:type="character" w:styleId="IntenseEmphasis">
    <w:name w:val="Intense Emphasis"/>
    <w:basedOn w:val="DefaultParagraphFont"/>
    <w:uiPriority w:val="21"/>
    <w:qFormat/>
    <w:rsid w:val="00C83E11"/>
    <w:rPr>
      <w:i/>
      <w:iCs/>
      <w:color w:val="0F4761" w:themeColor="accent1" w:themeShade="BF"/>
    </w:rPr>
  </w:style>
  <w:style w:type="paragraph" w:styleId="IntenseQuote">
    <w:name w:val="Intense Quote"/>
    <w:basedOn w:val="Normal"/>
    <w:next w:val="Normal"/>
    <w:link w:val="IntenseQuoteChar"/>
    <w:uiPriority w:val="30"/>
    <w:qFormat/>
    <w:rsid w:val="00C83E1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83E11"/>
    <w:rPr>
      <w:i/>
      <w:iCs/>
      <w:color w:val="0F4761" w:themeColor="accent1" w:themeShade="BF"/>
    </w:rPr>
  </w:style>
  <w:style w:type="character" w:styleId="IntenseReference">
    <w:name w:val="Intense Reference"/>
    <w:basedOn w:val="DefaultParagraphFont"/>
    <w:uiPriority w:val="32"/>
    <w:qFormat/>
    <w:rsid w:val="00C83E11"/>
    <w:rPr>
      <w:b/>
      <w:bCs/>
      <w:smallCaps/>
      <w:color w:val="0F4761" w:themeColor="accent1" w:themeShade="BF"/>
      <w:spacing w:val="5"/>
    </w:rPr>
  </w:style>
  <w:style w:type="character" w:styleId="Hyperlink">
    <w:name w:val="Hyperlink"/>
    <w:basedOn w:val="DefaultParagraphFont"/>
    <w:uiPriority w:val="99"/>
    <w:unhideWhenUsed/>
    <w:rsid w:val="002B0535"/>
    <w:rPr>
      <w:color w:val="467886" w:themeColor="hyperlink"/>
      <w:u w:val="single"/>
    </w:rPr>
  </w:style>
  <w:style w:type="character" w:styleId="UnresolvedMention">
    <w:name w:val="Unresolved Mention"/>
    <w:basedOn w:val="DefaultParagraphFont"/>
    <w:uiPriority w:val="99"/>
    <w:semiHidden/>
    <w:unhideWhenUsed/>
    <w:rsid w:val="002B0535"/>
    <w:rPr>
      <w:color w:val="605E5C"/>
      <w:shd w:val="clear" w:color="auto" w:fill="E1DFDD"/>
    </w:rPr>
  </w:style>
  <w:style w:type="paragraph" w:customStyle="1" w:styleId="HandbookMainText">
    <w:name w:val="HandbookMainText"/>
    <w:basedOn w:val="Normal"/>
    <w:qFormat/>
    <w:rsid w:val="001E7C58"/>
    <w:pPr>
      <w:tabs>
        <w:tab w:val="left" w:pos="567"/>
      </w:tabs>
      <w:jc w:val="both"/>
    </w:pPr>
    <w:rPr>
      <w:rFonts w:ascii="Times New Roman" w:eastAsia="Calibri" w:hAnsi="Times New Roman" w:cs="Times New Roman"/>
      <w:bCs/>
      <w:iCs/>
      <w:kern w:val="0"/>
      <w:szCs w:val="21"/>
      <w:lang w:val="en-GB" w:eastAsia="es-AR"/>
      <w14:ligatures w14:val="none"/>
    </w:rPr>
  </w:style>
  <w:style w:type="character" w:styleId="FollowedHyperlink">
    <w:name w:val="FollowedHyperlink"/>
    <w:basedOn w:val="DefaultParagraphFont"/>
    <w:uiPriority w:val="99"/>
    <w:semiHidden/>
    <w:unhideWhenUsed/>
    <w:rsid w:val="00580A9D"/>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26244">
      <w:bodyDiv w:val="1"/>
      <w:marLeft w:val="0"/>
      <w:marRight w:val="0"/>
      <w:marTop w:val="0"/>
      <w:marBottom w:val="0"/>
      <w:divBdr>
        <w:top w:val="none" w:sz="0" w:space="0" w:color="auto"/>
        <w:left w:val="none" w:sz="0" w:space="0" w:color="auto"/>
        <w:bottom w:val="none" w:sz="0" w:space="0" w:color="auto"/>
        <w:right w:val="none" w:sz="0" w:space="0" w:color="auto"/>
      </w:divBdr>
    </w:div>
    <w:div w:id="283854860">
      <w:bodyDiv w:val="1"/>
      <w:marLeft w:val="0"/>
      <w:marRight w:val="0"/>
      <w:marTop w:val="0"/>
      <w:marBottom w:val="0"/>
      <w:divBdr>
        <w:top w:val="none" w:sz="0" w:space="0" w:color="auto"/>
        <w:left w:val="none" w:sz="0" w:space="0" w:color="auto"/>
        <w:bottom w:val="none" w:sz="0" w:space="0" w:color="auto"/>
        <w:right w:val="none" w:sz="0" w:space="0" w:color="auto"/>
      </w:divBdr>
      <w:divsChild>
        <w:div w:id="1287859047">
          <w:marLeft w:val="360"/>
          <w:marRight w:val="0"/>
          <w:marTop w:val="200"/>
          <w:marBottom w:val="0"/>
          <w:divBdr>
            <w:top w:val="none" w:sz="0" w:space="0" w:color="auto"/>
            <w:left w:val="none" w:sz="0" w:space="0" w:color="auto"/>
            <w:bottom w:val="none" w:sz="0" w:space="0" w:color="auto"/>
            <w:right w:val="none" w:sz="0" w:space="0" w:color="auto"/>
          </w:divBdr>
        </w:div>
        <w:div w:id="1429421675">
          <w:marLeft w:val="360"/>
          <w:marRight w:val="0"/>
          <w:marTop w:val="200"/>
          <w:marBottom w:val="0"/>
          <w:divBdr>
            <w:top w:val="none" w:sz="0" w:space="0" w:color="auto"/>
            <w:left w:val="none" w:sz="0" w:space="0" w:color="auto"/>
            <w:bottom w:val="none" w:sz="0" w:space="0" w:color="auto"/>
            <w:right w:val="none" w:sz="0" w:space="0" w:color="auto"/>
          </w:divBdr>
        </w:div>
        <w:div w:id="1159734620">
          <w:marLeft w:val="360"/>
          <w:marRight w:val="0"/>
          <w:marTop w:val="200"/>
          <w:marBottom w:val="0"/>
          <w:divBdr>
            <w:top w:val="none" w:sz="0" w:space="0" w:color="auto"/>
            <w:left w:val="none" w:sz="0" w:space="0" w:color="auto"/>
            <w:bottom w:val="none" w:sz="0" w:space="0" w:color="auto"/>
            <w:right w:val="none" w:sz="0" w:space="0" w:color="auto"/>
          </w:divBdr>
        </w:div>
        <w:div w:id="2082555994">
          <w:marLeft w:val="1080"/>
          <w:marRight w:val="0"/>
          <w:marTop w:val="100"/>
          <w:marBottom w:val="0"/>
          <w:divBdr>
            <w:top w:val="none" w:sz="0" w:space="0" w:color="auto"/>
            <w:left w:val="none" w:sz="0" w:space="0" w:color="auto"/>
            <w:bottom w:val="none" w:sz="0" w:space="0" w:color="auto"/>
            <w:right w:val="none" w:sz="0" w:space="0" w:color="auto"/>
          </w:divBdr>
        </w:div>
        <w:div w:id="1424913590">
          <w:marLeft w:val="360"/>
          <w:marRight w:val="0"/>
          <w:marTop w:val="200"/>
          <w:marBottom w:val="0"/>
          <w:divBdr>
            <w:top w:val="none" w:sz="0" w:space="0" w:color="auto"/>
            <w:left w:val="none" w:sz="0" w:space="0" w:color="auto"/>
            <w:bottom w:val="none" w:sz="0" w:space="0" w:color="auto"/>
            <w:right w:val="none" w:sz="0" w:space="0" w:color="auto"/>
          </w:divBdr>
        </w:div>
        <w:div w:id="1345397823">
          <w:marLeft w:val="1080"/>
          <w:marRight w:val="0"/>
          <w:marTop w:val="100"/>
          <w:marBottom w:val="0"/>
          <w:divBdr>
            <w:top w:val="none" w:sz="0" w:space="0" w:color="auto"/>
            <w:left w:val="none" w:sz="0" w:space="0" w:color="auto"/>
            <w:bottom w:val="none" w:sz="0" w:space="0" w:color="auto"/>
            <w:right w:val="none" w:sz="0" w:space="0" w:color="auto"/>
          </w:divBdr>
        </w:div>
        <w:div w:id="368919814">
          <w:marLeft w:val="360"/>
          <w:marRight w:val="0"/>
          <w:marTop w:val="200"/>
          <w:marBottom w:val="0"/>
          <w:divBdr>
            <w:top w:val="none" w:sz="0" w:space="0" w:color="auto"/>
            <w:left w:val="none" w:sz="0" w:space="0" w:color="auto"/>
            <w:bottom w:val="none" w:sz="0" w:space="0" w:color="auto"/>
            <w:right w:val="none" w:sz="0" w:space="0" w:color="auto"/>
          </w:divBdr>
        </w:div>
        <w:div w:id="382754098">
          <w:marLeft w:val="1080"/>
          <w:marRight w:val="0"/>
          <w:marTop w:val="100"/>
          <w:marBottom w:val="0"/>
          <w:divBdr>
            <w:top w:val="none" w:sz="0" w:space="0" w:color="auto"/>
            <w:left w:val="none" w:sz="0" w:space="0" w:color="auto"/>
            <w:bottom w:val="none" w:sz="0" w:space="0" w:color="auto"/>
            <w:right w:val="none" w:sz="0" w:space="0" w:color="auto"/>
          </w:divBdr>
        </w:div>
        <w:div w:id="513689723">
          <w:marLeft w:val="1080"/>
          <w:marRight w:val="0"/>
          <w:marTop w:val="100"/>
          <w:marBottom w:val="0"/>
          <w:divBdr>
            <w:top w:val="none" w:sz="0" w:space="0" w:color="auto"/>
            <w:left w:val="none" w:sz="0" w:space="0" w:color="auto"/>
            <w:bottom w:val="none" w:sz="0" w:space="0" w:color="auto"/>
            <w:right w:val="none" w:sz="0" w:space="0" w:color="auto"/>
          </w:divBdr>
        </w:div>
        <w:div w:id="82607915">
          <w:marLeft w:val="360"/>
          <w:marRight w:val="0"/>
          <w:marTop w:val="200"/>
          <w:marBottom w:val="0"/>
          <w:divBdr>
            <w:top w:val="none" w:sz="0" w:space="0" w:color="auto"/>
            <w:left w:val="none" w:sz="0" w:space="0" w:color="auto"/>
            <w:bottom w:val="none" w:sz="0" w:space="0" w:color="auto"/>
            <w:right w:val="none" w:sz="0" w:space="0" w:color="auto"/>
          </w:divBdr>
        </w:div>
        <w:div w:id="282083405">
          <w:marLeft w:val="1080"/>
          <w:marRight w:val="0"/>
          <w:marTop w:val="100"/>
          <w:marBottom w:val="0"/>
          <w:divBdr>
            <w:top w:val="none" w:sz="0" w:space="0" w:color="auto"/>
            <w:left w:val="none" w:sz="0" w:space="0" w:color="auto"/>
            <w:bottom w:val="none" w:sz="0" w:space="0" w:color="auto"/>
            <w:right w:val="none" w:sz="0" w:space="0" w:color="auto"/>
          </w:divBdr>
        </w:div>
        <w:div w:id="355890960">
          <w:marLeft w:val="360"/>
          <w:marRight w:val="0"/>
          <w:marTop w:val="200"/>
          <w:marBottom w:val="0"/>
          <w:divBdr>
            <w:top w:val="none" w:sz="0" w:space="0" w:color="auto"/>
            <w:left w:val="none" w:sz="0" w:space="0" w:color="auto"/>
            <w:bottom w:val="none" w:sz="0" w:space="0" w:color="auto"/>
            <w:right w:val="none" w:sz="0" w:space="0" w:color="auto"/>
          </w:divBdr>
        </w:div>
        <w:div w:id="1992370973">
          <w:marLeft w:val="1080"/>
          <w:marRight w:val="0"/>
          <w:marTop w:val="100"/>
          <w:marBottom w:val="0"/>
          <w:divBdr>
            <w:top w:val="none" w:sz="0" w:space="0" w:color="auto"/>
            <w:left w:val="none" w:sz="0" w:space="0" w:color="auto"/>
            <w:bottom w:val="none" w:sz="0" w:space="0" w:color="auto"/>
            <w:right w:val="none" w:sz="0" w:space="0" w:color="auto"/>
          </w:divBdr>
        </w:div>
        <w:div w:id="599415038">
          <w:marLeft w:val="360"/>
          <w:marRight w:val="0"/>
          <w:marTop w:val="200"/>
          <w:marBottom w:val="0"/>
          <w:divBdr>
            <w:top w:val="none" w:sz="0" w:space="0" w:color="auto"/>
            <w:left w:val="none" w:sz="0" w:space="0" w:color="auto"/>
            <w:bottom w:val="none" w:sz="0" w:space="0" w:color="auto"/>
            <w:right w:val="none" w:sz="0" w:space="0" w:color="auto"/>
          </w:divBdr>
        </w:div>
        <w:div w:id="1589193962">
          <w:marLeft w:val="1080"/>
          <w:marRight w:val="0"/>
          <w:marTop w:val="100"/>
          <w:marBottom w:val="0"/>
          <w:divBdr>
            <w:top w:val="none" w:sz="0" w:space="0" w:color="auto"/>
            <w:left w:val="none" w:sz="0" w:space="0" w:color="auto"/>
            <w:bottom w:val="none" w:sz="0" w:space="0" w:color="auto"/>
            <w:right w:val="none" w:sz="0" w:space="0" w:color="auto"/>
          </w:divBdr>
        </w:div>
        <w:div w:id="1564214511">
          <w:marLeft w:val="360"/>
          <w:marRight w:val="0"/>
          <w:marTop w:val="200"/>
          <w:marBottom w:val="0"/>
          <w:divBdr>
            <w:top w:val="none" w:sz="0" w:space="0" w:color="auto"/>
            <w:left w:val="none" w:sz="0" w:space="0" w:color="auto"/>
            <w:bottom w:val="none" w:sz="0" w:space="0" w:color="auto"/>
            <w:right w:val="none" w:sz="0" w:space="0" w:color="auto"/>
          </w:divBdr>
        </w:div>
        <w:div w:id="533930100">
          <w:marLeft w:val="1080"/>
          <w:marRight w:val="0"/>
          <w:marTop w:val="100"/>
          <w:marBottom w:val="0"/>
          <w:divBdr>
            <w:top w:val="none" w:sz="0" w:space="0" w:color="auto"/>
            <w:left w:val="none" w:sz="0" w:space="0" w:color="auto"/>
            <w:bottom w:val="none" w:sz="0" w:space="0" w:color="auto"/>
            <w:right w:val="none" w:sz="0" w:space="0" w:color="auto"/>
          </w:divBdr>
        </w:div>
      </w:divsChild>
    </w:div>
    <w:div w:id="609436030">
      <w:bodyDiv w:val="1"/>
      <w:marLeft w:val="0"/>
      <w:marRight w:val="0"/>
      <w:marTop w:val="0"/>
      <w:marBottom w:val="0"/>
      <w:divBdr>
        <w:top w:val="none" w:sz="0" w:space="0" w:color="auto"/>
        <w:left w:val="none" w:sz="0" w:space="0" w:color="auto"/>
        <w:bottom w:val="none" w:sz="0" w:space="0" w:color="auto"/>
        <w:right w:val="none" w:sz="0" w:space="0" w:color="auto"/>
      </w:divBdr>
      <w:divsChild>
        <w:div w:id="52575836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58682988">
              <w:marLeft w:val="0"/>
              <w:marRight w:val="0"/>
              <w:marTop w:val="0"/>
              <w:marBottom w:val="0"/>
              <w:divBdr>
                <w:top w:val="none" w:sz="0" w:space="0" w:color="auto"/>
                <w:left w:val="none" w:sz="0" w:space="0" w:color="auto"/>
                <w:bottom w:val="none" w:sz="0" w:space="0" w:color="auto"/>
                <w:right w:val="none" w:sz="0" w:space="0" w:color="auto"/>
              </w:divBdr>
              <w:divsChild>
                <w:div w:id="1291665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5419323">
      <w:bodyDiv w:val="1"/>
      <w:marLeft w:val="0"/>
      <w:marRight w:val="0"/>
      <w:marTop w:val="0"/>
      <w:marBottom w:val="0"/>
      <w:divBdr>
        <w:top w:val="none" w:sz="0" w:space="0" w:color="auto"/>
        <w:left w:val="none" w:sz="0" w:space="0" w:color="auto"/>
        <w:bottom w:val="none" w:sz="0" w:space="0" w:color="auto"/>
        <w:right w:val="none" w:sz="0" w:space="0" w:color="auto"/>
      </w:divBdr>
    </w:div>
    <w:div w:id="1602956265">
      <w:bodyDiv w:val="1"/>
      <w:marLeft w:val="0"/>
      <w:marRight w:val="0"/>
      <w:marTop w:val="0"/>
      <w:marBottom w:val="0"/>
      <w:divBdr>
        <w:top w:val="none" w:sz="0" w:space="0" w:color="auto"/>
        <w:left w:val="none" w:sz="0" w:space="0" w:color="auto"/>
        <w:bottom w:val="none" w:sz="0" w:space="0" w:color="auto"/>
        <w:right w:val="none" w:sz="0" w:space="0" w:color="auto"/>
      </w:divBdr>
    </w:div>
    <w:div w:id="1647776541">
      <w:bodyDiv w:val="1"/>
      <w:marLeft w:val="0"/>
      <w:marRight w:val="0"/>
      <w:marTop w:val="0"/>
      <w:marBottom w:val="0"/>
      <w:divBdr>
        <w:top w:val="none" w:sz="0" w:space="0" w:color="auto"/>
        <w:left w:val="none" w:sz="0" w:space="0" w:color="auto"/>
        <w:bottom w:val="none" w:sz="0" w:space="0" w:color="auto"/>
        <w:right w:val="none" w:sz="0" w:space="0" w:color="auto"/>
      </w:divBdr>
      <w:divsChild>
        <w:div w:id="1858157963">
          <w:marLeft w:val="360"/>
          <w:marRight w:val="0"/>
          <w:marTop w:val="200"/>
          <w:marBottom w:val="0"/>
          <w:divBdr>
            <w:top w:val="none" w:sz="0" w:space="0" w:color="auto"/>
            <w:left w:val="none" w:sz="0" w:space="0" w:color="auto"/>
            <w:bottom w:val="none" w:sz="0" w:space="0" w:color="auto"/>
            <w:right w:val="none" w:sz="0" w:space="0" w:color="auto"/>
          </w:divBdr>
        </w:div>
        <w:div w:id="578446901">
          <w:marLeft w:val="360"/>
          <w:marRight w:val="0"/>
          <w:marTop w:val="200"/>
          <w:marBottom w:val="0"/>
          <w:divBdr>
            <w:top w:val="none" w:sz="0" w:space="0" w:color="auto"/>
            <w:left w:val="none" w:sz="0" w:space="0" w:color="auto"/>
            <w:bottom w:val="none" w:sz="0" w:space="0" w:color="auto"/>
            <w:right w:val="none" w:sz="0" w:space="0" w:color="auto"/>
          </w:divBdr>
        </w:div>
        <w:div w:id="347832276">
          <w:marLeft w:val="360"/>
          <w:marRight w:val="0"/>
          <w:marTop w:val="200"/>
          <w:marBottom w:val="0"/>
          <w:divBdr>
            <w:top w:val="none" w:sz="0" w:space="0" w:color="auto"/>
            <w:left w:val="none" w:sz="0" w:space="0" w:color="auto"/>
            <w:bottom w:val="none" w:sz="0" w:space="0" w:color="auto"/>
            <w:right w:val="none" w:sz="0" w:space="0" w:color="auto"/>
          </w:divBdr>
        </w:div>
        <w:div w:id="1749036085">
          <w:marLeft w:val="1080"/>
          <w:marRight w:val="0"/>
          <w:marTop w:val="100"/>
          <w:marBottom w:val="0"/>
          <w:divBdr>
            <w:top w:val="none" w:sz="0" w:space="0" w:color="auto"/>
            <w:left w:val="none" w:sz="0" w:space="0" w:color="auto"/>
            <w:bottom w:val="none" w:sz="0" w:space="0" w:color="auto"/>
            <w:right w:val="none" w:sz="0" w:space="0" w:color="auto"/>
          </w:divBdr>
        </w:div>
        <w:div w:id="1799254507">
          <w:marLeft w:val="360"/>
          <w:marRight w:val="0"/>
          <w:marTop w:val="200"/>
          <w:marBottom w:val="0"/>
          <w:divBdr>
            <w:top w:val="none" w:sz="0" w:space="0" w:color="auto"/>
            <w:left w:val="none" w:sz="0" w:space="0" w:color="auto"/>
            <w:bottom w:val="none" w:sz="0" w:space="0" w:color="auto"/>
            <w:right w:val="none" w:sz="0" w:space="0" w:color="auto"/>
          </w:divBdr>
        </w:div>
        <w:div w:id="884949296">
          <w:marLeft w:val="1080"/>
          <w:marRight w:val="0"/>
          <w:marTop w:val="100"/>
          <w:marBottom w:val="0"/>
          <w:divBdr>
            <w:top w:val="none" w:sz="0" w:space="0" w:color="auto"/>
            <w:left w:val="none" w:sz="0" w:space="0" w:color="auto"/>
            <w:bottom w:val="none" w:sz="0" w:space="0" w:color="auto"/>
            <w:right w:val="none" w:sz="0" w:space="0" w:color="auto"/>
          </w:divBdr>
        </w:div>
        <w:div w:id="1729527390">
          <w:marLeft w:val="360"/>
          <w:marRight w:val="0"/>
          <w:marTop w:val="200"/>
          <w:marBottom w:val="0"/>
          <w:divBdr>
            <w:top w:val="none" w:sz="0" w:space="0" w:color="auto"/>
            <w:left w:val="none" w:sz="0" w:space="0" w:color="auto"/>
            <w:bottom w:val="none" w:sz="0" w:space="0" w:color="auto"/>
            <w:right w:val="none" w:sz="0" w:space="0" w:color="auto"/>
          </w:divBdr>
        </w:div>
        <w:div w:id="2056078248">
          <w:marLeft w:val="1080"/>
          <w:marRight w:val="0"/>
          <w:marTop w:val="100"/>
          <w:marBottom w:val="0"/>
          <w:divBdr>
            <w:top w:val="none" w:sz="0" w:space="0" w:color="auto"/>
            <w:left w:val="none" w:sz="0" w:space="0" w:color="auto"/>
            <w:bottom w:val="none" w:sz="0" w:space="0" w:color="auto"/>
            <w:right w:val="none" w:sz="0" w:space="0" w:color="auto"/>
          </w:divBdr>
        </w:div>
        <w:div w:id="883641115">
          <w:marLeft w:val="1080"/>
          <w:marRight w:val="0"/>
          <w:marTop w:val="100"/>
          <w:marBottom w:val="0"/>
          <w:divBdr>
            <w:top w:val="none" w:sz="0" w:space="0" w:color="auto"/>
            <w:left w:val="none" w:sz="0" w:space="0" w:color="auto"/>
            <w:bottom w:val="none" w:sz="0" w:space="0" w:color="auto"/>
            <w:right w:val="none" w:sz="0" w:space="0" w:color="auto"/>
          </w:divBdr>
        </w:div>
        <w:div w:id="2126264860">
          <w:marLeft w:val="360"/>
          <w:marRight w:val="0"/>
          <w:marTop w:val="200"/>
          <w:marBottom w:val="0"/>
          <w:divBdr>
            <w:top w:val="none" w:sz="0" w:space="0" w:color="auto"/>
            <w:left w:val="none" w:sz="0" w:space="0" w:color="auto"/>
            <w:bottom w:val="none" w:sz="0" w:space="0" w:color="auto"/>
            <w:right w:val="none" w:sz="0" w:space="0" w:color="auto"/>
          </w:divBdr>
        </w:div>
        <w:div w:id="941456394">
          <w:marLeft w:val="1080"/>
          <w:marRight w:val="0"/>
          <w:marTop w:val="100"/>
          <w:marBottom w:val="0"/>
          <w:divBdr>
            <w:top w:val="none" w:sz="0" w:space="0" w:color="auto"/>
            <w:left w:val="none" w:sz="0" w:space="0" w:color="auto"/>
            <w:bottom w:val="none" w:sz="0" w:space="0" w:color="auto"/>
            <w:right w:val="none" w:sz="0" w:space="0" w:color="auto"/>
          </w:divBdr>
        </w:div>
        <w:div w:id="1388798308">
          <w:marLeft w:val="360"/>
          <w:marRight w:val="0"/>
          <w:marTop w:val="200"/>
          <w:marBottom w:val="0"/>
          <w:divBdr>
            <w:top w:val="none" w:sz="0" w:space="0" w:color="auto"/>
            <w:left w:val="none" w:sz="0" w:space="0" w:color="auto"/>
            <w:bottom w:val="none" w:sz="0" w:space="0" w:color="auto"/>
            <w:right w:val="none" w:sz="0" w:space="0" w:color="auto"/>
          </w:divBdr>
        </w:div>
        <w:div w:id="1136140814">
          <w:marLeft w:val="1080"/>
          <w:marRight w:val="0"/>
          <w:marTop w:val="100"/>
          <w:marBottom w:val="0"/>
          <w:divBdr>
            <w:top w:val="none" w:sz="0" w:space="0" w:color="auto"/>
            <w:left w:val="none" w:sz="0" w:space="0" w:color="auto"/>
            <w:bottom w:val="none" w:sz="0" w:space="0" w:color="auto"/>
            <w:right w:val="none" w:sz="0" w:space="0" w:color="auto"/>
          </w:divBdr>
        </w:div>
        <w:div w:id="779648024">
          <w:marLeft w:val="360"/>
          <w:marRight w:val="0"/>
          <w:marTop w:val="200"/>
          <w:marBottom w:val="0"/>
          <w:divBdr>
            <w:top w:val="none" w:sz="0" w:space="0" w:color="auto"/>
            <w:left w:val="none" w:sz="0" w:space="0" w:color="auto"/>
            <w:bottom w:val="none" w:sz="0" w:space="0" w:color="auto"/>
            <w:right w:val="none" w:sz="0" w:space="0" w:color="auto"/>
          </w:divBdr>
        </w:div>
        <w:div w:id="2113281057">
          <w:marLeft w:val="1080"/>
          <w:marRight w:val="0"/>
          <w:marTop w:val="100"/>
          <w:marBottom w:val="0"/>
          <w:divBdr>
            <w:top w:val="none" w:sz="0" w:space="0" w:color="auto"/>
            <w:left w:val="none" w:sz="0" w:space="0" w:color="auto"/>
            <w:bottom w:val="none" w:sz="0" w:space="0" w:color="auto"/>
            <w:right w:val="none" w:sz="0" w:space="0" w:color="auto"/>
          </w:divBdr>
        </w:div>
        <w:div w:id="117116342">
          <w:marLeft w:val="360"/>
          <w:marRight w:val="0"/>
          <w:marTop w:val="200"/>
          <w:marBottom w:val="0"/>
          <w:divBdr>
            <w:top w:val="none" w:sz="0" w:space="0" w:color="auto"/>
            <w:left w:val="none" w:sz="0" w:space="0" w:color="auto"/>
            <w:bottom w:val="none" w:sz="0" w:space="0" w:color="auto"/>
            <w:right w:val="none" w:sz="0" w:space="0" w:color="auto"/>
          </w:divBdr>
        </w:div>
        <w:div w:id="1631669292">
          <w:marLeft w:val="1080"/>
          <w:marRight w:val="0"/>
          <w:marTop w:val="100"/>
          <w:marBottom w:val="0"/>
          <w:divBdr>
            <w:top w:val="none" w:sz="0" w:space="0" w:color="auto"/>
            <w:left w:val="none" w:sz="0" w:space="0" w:color="auto"/>
            <w:bottom w:val="none" w:sz="0" w:space="0" w:color="auto"/>
            <w:right w:val="none" w:sz="0" w:space="0" w:color="auto"/>
          </w:divBdr>
        </w:div>
      </w:divsChild>
    </w:div>
    <w:div w:id="1938976648">
      <w:bodyDiv w:val="1"/>
      <w:marLeft w:val="0"/>
      <w:marRight w:val="0"/>
      <w:marTop w:val="0"/>
      <w:marBottom w:val="0"/>
      <w:divBdr>
        <w:top w:val="none" w:sz="0" w:space="0" w:color="auto"/>
        <w:left w:val="none" w:sz="0" w:space="0" w:color="auto"/>
        <w:bottom w:val="none" w:sz="0" w:space="0" w:color="auto"/>
        <w:right w:val="none" w:sz="0" w:space="0" w:color="auto"/>
      </w:divBdr>
    </w:div>
    <w:div w:id="2079133546">
      <w:bodyDiv w:val="1"/>
      <w:marLeft w:val="0"/>
      <w:marRight w:val="0"/>
      <w:marTop w:val="0"/>
      <w:marBottom w:val="0"/>
      <w:divBdr>
        <w:top w:val="none" w:sz="0" w:space="0" w:color="auto"/>
        <w:left w:val="none" w:sz="0" w:space="0" w:color="auto"/>
        <w:bottom w:val="none" w:sz="0" w:space="0" w:color="auto"/>
        <w:right w:val="none" w:sz="0" w:space="0" w:color="auto"/>
      </w:divBdr>
      <w:divsChild>
        <w:div w:id="87943628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77756696">
              <w:marLeft w:val="0"/>
              <w:marRight w:val="0"/>
              <w:marTop w:val="0"/>
              <w:marBottom w:val="0"/>
              <w:divBdr>
                <w:top w:val="none" w:sz="0" w:space="0" w:color="auto"/>
                <w:left w:val="none" w:sz="0" w:space="0" w:color="auto"/>
                <w:bottom w:val="none" w:sz="0" w:space="0" w:color="auto"/>
                <w:right w:val="none" w:sz="0" w:space="0" w:color="auto"/>
              </w:divBdr>
              <w:divsChild>
                <w:div w:id="1098595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177/1525822X211072343" TargetMode="External"/><Relationship Id="rId13" Type="http://schemas.openxmlformats.org/officeDocument/2006/relationships/hyperlink" Target="https://wapor.org/resources/aapor-wapor-task-force-report-on-quality-in-comparative-survey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jjosefos@umich.edu" TargetMode="External"/><Relationship Id="rId12" Type="http://schemas.openxmlformats.org/officeDocument/2006/relationships/hyperlink" Target="https://www.surveypractice.org/article/129646-introduction-2025-special-issue-on-cross-cultural-and-multilingual-research"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trans-int.org/index.php/transint/issue/view/45" TargetMode="External"/><Relationship Id="rId1" Type="http://schemas.openxmlformats.org/officeDocument/2006/relationships/numbering" Target="numbering.xml"/><Relationship Id="rId6" Type="http://schemas.openxmlformats.org/officeDocument/2006/relationships/hyperlink" Target="https://csdiworkshop.org/" TargetMode="External"/><Relationship Id="rId11" Type="http://schemas.openxmlformats.org/officeDocument/2006/relationships/hyperlink" Target="https://unstats.un.org/UNSDWebsite/statcom/session_56/documents/BG-3p-Handbook_of_Surveys_on_Individuals_and_Households-E.pdf" TargetMode="External"/><Relationship Id="rId5" Type="http://schemas.openxmlformats.org/officeDocument/2006/relationships/hyperlink" Target="http://ccsg.isr.umich.edu/" TargetMode="External"/><Relationship Id="rId15" Type="http://schemas.openxmlformats.org/officeDocument/2006/relationships/hyperlink" Target="https://www.eurofound.europa.eu/system/files/2019-12/wpef18059.pdf" TargetMode="External"/><Relationship Id="rId10" Type="http://schemas.openxmlformats.org/officeDocument/2006/relationships/hyperlink" Target="https://dimewiki.worldbank.org/Survey_Pilot" TargetMode="External"/><Relationship Id="rId4" Type="http://schemas.openxmlformats.org/officeDocument/2006/relationships/webSettings" Target="webSettings.xml"/><Relationship Id="rId9" Type="http://schemas.openxmlformats.org/officeDocument/2006/relationships/hyperlink" Target="http://www.ccsg.isr.umich.edu/" TargetMode="External"/><Relationship Id="rId14" Type="http://schemas.openxmlformats.org/officeDocument/2006/relationships/hyperlink" Target="https://www.rti.org/rti-press-publication/language-survey-resear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cf90b97b-be46-4a00-9700-81ce4ff1b7f6}" enabled="0" method="" siteId="{cf90b97b-be46-4a00-9700-81ce4ff1b7f6}" removed="1"/>
</clbl:labelList>
</file>

<file path=docProps/app.xml><?xml version="1.0" encoding="utf-8"?>
<Properties xmlns="http://schemas.openxmlformats.org/officeDocument/2006/extended-properties" xmlns:vt="http://schemas.openxmlformats.org/officeDocument/2006/docPropsVTypes">
  <Template>Normal</Template>
  <TotalTime>35</TotalTime>
  <Pages>4</Pages>
  <Words>1545</Words>
  <Characters>8813</Characters>
  <Application>Microsoft Office Word</Application>
  <DocSecurity>0</DocSecurity>
  <Lines>73</Lines>
  <Paragraphs>20</Paragraphs>
  <ScaleCrop>false</ScaleCrop>
  <Company>ICF</Company>
  <LinksUpToDate>false</LinksUpToDate>
  <CharactersWithSpaces>10338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 Jong, Julie</dc:creator>
  <cp:keywords/>
  <dc:description/>
  <cp:lastModifiedBy>de Jong, Julie</cp:lastModifiedBy>
  <cp:revision>62</cp:revision>
  <dcterms:created xsi:type="dcterms:W3CDTF">2025-04-25T11:57:00Z</dcterms:created>
  <dcterms:modified xsi:type="dcterms:W3CDTF">2025-04-25T12:38:00Z</dcterms:modified>
</cp:coreProperties>
</file>